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ascii="仿宋" w:hAnsi="仿宋"/>
          <w:b/>
          <w:color w:val="003366"/>
          <w:sz w:val="32"/>
          <w:szCs w:val="32"/>
          <w:lang w:eastAsia="zh-Hans"/>
        </w:rPr>
      </w:pPr>
      <w:bookmarkStart w:id="0" w:name="_Hlk14171058"/>
      <w:r>
        <w:rPr>
          <w:rFonts w:hint="eastAsia" w:ascii="仿宋" w:hAnsi="仿宋"/>
          <w:b/>
          <w:color w:val="003366"/>
          <w:sz w:val="32"/>
          <w:szCs w:val="32"/>
          <w:lang w:eastAsia="zh-Hans"/>
        </w:rPr>
        <w:t>投教基地积极开展“宪法宣传周”工作</w:t>
      </w:r>
    </w:p>
    <w:p>
      <w:pPr>
        <w:ind w:firstLine="0" w:firstLineChars="0"/>
        <w:rPr>
          <w:rFonts w:ascii="仿宋" w:hAnsi="仿宋"/>
          <w:b/>
          <w:color w:val="1F497D" w:themeColor="text2"/>
          <w:kern w:val="0"/>
          <w:szCs w:val="28"/>
          <w14:textFill>
            <w14:solidFill>
              <w14:schemeClr w14:val="tx2"/>
            </w14:solidFill>
          </w14:textFill>
        </w:rPr>
      </w:pPr>
      <w:r>
        <w:rPr>
          <w:rFonts w:hint="eastAsia" w:ascii="仿宋" w:hAnsi="仿宋"/>
          <w:b/>
          <w:color w:val="1F497D" w:themeColor="text2"/>
          <w:kern w:val="0"/>
          <w:szCs w:val="28"/>
          <w14:textFill>
            <w14:solidFill>
              <w14:schemeClr w14:val="tx2"/>
            </w14:solidFill>
          </w14:textFill>
        </w:rPr>
        <w:t>——举办首单证券纠纷特别代表人诉讼案件要点解读投教直播活动</w:t>
      </w:r>
    </w:p>
    <w:bookmarkEnd w:id="0"/>
    <w:p>
      <w:pPr>
        <w:pStyle w:val="28"/>
        <w:widowControl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2021年11月12日，广东省广州市中级人民法院作出康美药业特别代表人诉讼一审判决，投服中心代表原告方胜诉。52037名投资者共判赔约24.59亿元。这标志着以投资者“默示加入、明示退出”为特色的中国式集体诉讼司法实践成功落地。本次判决是中国法制史上的里程碑，也是资本市场法治建设的新标杆。</w:t>
      </w:r>
    </w:p>
    <w:p>
      <w:pPr>
        <w:pStyle w:val="28"/>
        <w:widowControl/>
        <w:ind w:firstLine="840" w:firstLineChars="300"/>
        <w:rPr>
          <w:rStyle w:val="29"/>
          <w:rFonts w:hint="eastAsia" w:ascii="仿宋_GB2312" w:hAnsi="仿宋_GB2312" w:eastAsia="仿宋_GB2312" w:cs="仿宋_GB2312"/>
        </w:rPr>
      </w:pPr>
      <w:r>
        <w:rPr>
          <w:rFonts w:hint="eastAsia" w:ascii="仿宋" w:hAnsi="仿宋" w:eastAsia="仿宋"/>
          <w:sz w:val="28"/>
          <w:szCs w:val="28"/>
        </w:rPr>
        <w:t>为认真学习宣传贯彻新《证券法》，在四川证监局及四川省证券期货业协会的指导下，宏信证券红庙子街投资者教育基地（以下简称“投教基地”）策划并于1</w:t>
      </w:r>
      <w:r>
        <w:rPr>
          <w:rStyle w:val="29"/>
          <w:rFonts w:hint="eastAsia" w:ascii="仿宋_GB2312" w:hAnsi="仿宋_GB2312" w:eastAsia="仿宋_GB2312" w:cs="仿宋_GB2312"/>
        </w:rPr>
        <w:t>2月2日举办</w:t>
      </w:r>
      <w:r>
        <w:rPr>
          <w:rFonts w:hint="eastAsia" w:ascii="仿宋" w:hAnsi="仿宋" w:eastAsia="仿宋"/>
          <w:sz w:val="28"/>
          <w:szCs w:val="28"/>
        </w:rPr>
        <w:t>了 “首单证券纠纷特别代表人诉讼案件——康美药业证券纠纷特别代表人诉讼判决要点解</w:t>
      </w:r>
      <w:r>
        <w:rPr>
          <w:rStyle w:val="29"/>
          <w:rFonts w:hint="eastAsia" w:ascii="仿宋_GB2312" w:hAnsi="仿宋_GB2312" w:eastAsia="仿宋_GB2312" w:cs="仿宋_GB2312"/>
        </w:rPr>
        <w:t>读</w:t>
      </w:r>
      <w:r>
        <w:rPr>
          <w:rFonts w:hint="eastAsia" w:ascii="仿宋_GB2312" w:hAnsi="仿宋_GB2312" w:eastAsia="仿宋_GB2312" w:cs="仿宋_GB2312"/>
          <w:spacing w:val="8"/>
        </w:rPr>
        <w:t>”</w:t>
      </w:r>
      <w:r>
        <w:rPr>
          <w:rStyle w:val="29"/>
          <w:rFonts w:hint="eastAsia" w:ascii="仿宋_GB2312" w:hAnsi="仿宋_GB2312" w:eastAsia="仿宋_GB2312" w:cs="仿宋_GB2312"/>
        </w:rPr>
        <w:t>专项投教直播活动，本次直播课程邀请到宏信证券经纪业务部合规专员金灵灵作为讲师，为投资者详细解读了相关要点。</w:t>
      </w:r>
    </w:p>
    <w:p>
      <w:pPr>
        <w:pStyle w:val="28"/>
        <w:widowControl/>
        <w:ind w:left="0" w:leftChars="0" w:firstLine="0" w:firstLineChars="0"/>
        <w:rPr>
          <w:rStyle w:val="29"/>
          <w:rFonts w:ascii="仿宋_GB2312" w:hAnsi="仿宋_GB2312" w:eastAsia="仿宋_GB2312" w:cs="仿宋_GB2312"/>
        </w:rPr>
      </w:pPr>
      <w:bookmarkStart w:id="1" w:name="_GoBack"/>
      <w:bookmarkEnd w:id="1"/>
      <w:r>
        <w:rPr>
          <w:rFonts w:ascii="仿宋_GB2312" w:hAnsi="仿宋_GB2312" w:eastAsia="仿宋_GB2312" w:cs="仿宋_GB2312"/>
          <w:spacing w:val="8"/>
        </w:rPr>
        <w:drawing>
          <wp:inline distT="0" distB="0" distL="0" distR="0">
            <wp:extent cx="4724400" cy="3057525"/>
            <wp:effectExtent l="0" t="0" r="0" b="9525"/>
            <wp:docPr id="8" name="图片 8" descr="C:\Users\刘丹\AppData\Local\Temp\WeChat Files\97d0b9720e11c49d6d8fa980c7eef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刘丹\AppData\Local\Temp\WeChat Files\97d0b9720e11c49d6d8fa980c7eefa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575" cy="306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widowControl/>
        <w:ind w:firstLine="840" w:firstLineChars="300"/>
        <w:rPr>
          <w:rFonts w:ascii="仿宋_GB2312" w:hAnsi="仿宋_GB2312" w:eastAsia="仿宋_GB2312" w:cs="仿宋_GB2312"/>
        </w:rPr>
      </w:pPr>
      <w:r>
        <w:rPr>
          <w:rFonts w:hint="eastAsia" w:ascii="仿宋" w:hAnsi="仿宋" w:eastAsia="仿宋"/>
          <w:sz w:val="28"/>
          <w:szCs w:val="28"/>
        </w:rPr>
        <w:t xml:space="preserve">直播授课中，讲师主要从“什么是证券纠纷特别代表人诉讼”、特别代表人诉讼“特别”在哪里、“康美药业案”的经过、从康美药业案谈投服中心“追首恶”的诉讼原则及特别代表人诉讼的实践意义五大方面进行了重点解读。 </w:t>
      </w:r>
    </w:p>
    <w:p>
      <w:pPr>
        <w:pStyle w:val="28"/>
        <w:widowControl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2020年3月1日起正式实施的新《证券法》确立了有中国特色的证券集体诉讼制度。该法第九十五条第三款规定，投资者保护机构受50名以上投资者的委托，可以依法作为代表人，按照“默示加入、明示退出”的原则，代表因同一违法行为遭受损害的投资者利益参加民事赔偿诉讼。2020年7月31日，最高人民法院、中国证监会、中证中小投资者服务中心分别发布司法解释、行政监管规定和投资者保护机构业务规则，与新《证券法》相关内容共同形成了证券纠纷代表人诉讼制度体系。</w:t>
      </w:r>
    </w:p>
    <w:p>
      <w:pPr>
        <w:pStyle w:val="8"/>
        <w:shd w:val="clear" w:color="auto" w:fill="FFFFFF"/>
        <w:spacing w:before="0" w:beforeAutospacing="0" w:after="0" w:afterAutospacing="0"/>
        <w:ind w:left="119" w:right="119" w:firstLine="560"/>
        <w:jc w:val="both"/>
        <w:rPr>
          <w:rFonts w:ascii="仿宋" w:hAnsi="仿宋" w:eastAsia="仿宋" w:cs="Times New Roman"/>
          <w:color w:val="262626"/>
          <w:sz w:val="28"/>
          <w:szCs w:val="28"/>
        </w:rPr>
      </w:pPr>
      <w:r>
        <w:rPr>
          <w:rFonts w:hint="eastAsia" w:ascii="仿宋" w:hAnsi="仿宋" w:eastAsia="仿宋" w:cs="Times New Roman"/>
          <w:color w:val="262626"/>
          <w:sz w:val="28"/>
          <w:szCs w:val="28"/>
        </w:rPr>
        <w:t>特别代表人诉讼制度的主要内容包括：一是确定投服中心参与特别代表人诉讼案件的范围和标准，二是明确了投服中心参加特别代表人诉讼的公益属性原则，三是特别代表人诉讼案件实行集中管辖，四是明确了对代表人的特别授权权限，五是规定了投资者可退出特别代表人诉讼的阶段。特别代表人诉讼制度的出台旨在大幅提高违法违规成本，遏制和减少资本市场违法犯罪行为的发生，同时降低投资者的维权成本，提高维权效率。而康美药业案作为我国首单证券集体诉讼案，是资本市场发展历史上的一个标志性案件，是落实新《证券法》确立的中国特色证券集体诉讼从法律条文走向实践的第一步。</w:t>
      </w:r>
    </w:p>
    <w:p>
      <w:pPr>
        <w:pStyle w:val="8"/>
        <w:shd w:val="clear" w:color="auto" w:fill="FFFFFF"/>
        <w:spacing w:before="0" w:beforeAutospacing="0" w:after="0" w:afterAutospacing="0"/>
        <w:ind w:right="119" w:firstLine="0" w:firstLineChars="0"/>
        <w:jc w:val="center"/>
        <w:rPr>
          <w:rFonts w:hint="eastAsia" w:ascii="仿宋" w:hAnsi="仿宋" w:eastAsia="仿宋" w:cs="Times New Roman"/>
          <w:color w:val="262626"/>
          <w:sz w:val="28"/>
          <w:szCs w:val="28"/>
        </w:rPr>
      </w:pPr>
      <w:r>
        <w:rPr>
          <w:rFonts w:ascii="仿宋" w:hAnsi="仿宋" w:eastAsia="仿宋" w:cs="Times New Roman"/>
          <w:color w:val="262626"/>
          <w:sz w:val="28"/>
          <w:szCs w:val="28"/>
        </w:rPr>
        <w:drawing>
          <wp:inline distT="0" distB="0" distL="0" distR="0">
            <wp:extent cx="3897630" cy="2923540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9148" cy="2932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8"/>
        <w:shd w:val="clear" w:color="auto" w:fill="FFFFFF"/>
        <w:spacing w:before="0" w:beforeAutospacing="0" w:after="0" w:afterAutospacing="0"/>
        <w:ind w:right="119" w:firstLine="0" w:firstLineChars="0"/>
        <w:jc w:val="both"/>
        <w:rPr>
          <w:rFonts w:ascii="仿宋" w:hAnsi="仿宋" w:eastAsia="仿宋" w:cs="Times New Roman"/>
          <w:color w:val="262626"/>
          <w:sz w:val="28"/>
          <w:szCs w:val="28"/>
        </w:rPr>
      </w:pPr>
      <w:r>
        <w:rPr>
          <w:rFonts w:hint="eastAsia" w:ascii="仿宋" w:hAnsi="仿宋" w:eastAsia="仿宋" w:cs="Times New Roman"/>
          <w:color w:val="262626"/>
          <w:sz w:val="28"/>
          <w:szCs w:val="28"/>
        </w:rPr>
        <w:t xml:space="preserve">     本次活动共吸引300余名观众在线观看，满意度达100%。同时，“证券纠纷特别代表人诉讼”是新《证券法》确立的一项重要制度创新，是注册制改革的重要配套制度，对于提高违法成本，维护证券市场秩序，保护投资者合法权益具有重要意义。</w:t>
      </w:r>
    </w:p>
    <w:p>
      <w:pPr>
        <w:pStyle w:val="8"/>
        <w:shd w:val="clear" w:color="auto" w:fill="FFFFFF"/>
        <w:spacing w:before="0" w:beforeAutospacing="0" w:after="0" w:afterAutospacing="0"/>
        <w:ind w:firstLine="0" w:firstLineChars="0"/>
        <w:rPr>
          <w:rFonts w:ascii="仿宋_GB2312" w:hAnsi="仿宋_GB2312" w:eastAsia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hint="eastAsia" w:ascii="仿宋_GB2312" w:hAnsi="仿宋_GB2312" w:eastAsia="仿宋_GB2312" w:cs="仿宋_GB2312"/>
          <w:color w:val="262626"/>
          <w:spacing w:val="8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262626"/>
          <w:spacing w:val="8"/>
          <w:sz w:val="30"/>
          <w:szCs w:val="30"/>
          <w:lang w:bidi="ar"/>
        </w:rPr>
        <w:t xml:space="preserve">                           </w:t>
      </w:r>
    </w:p>
    <w:p>
      <w:pPr>
        <w:pStyle w:val="8"/>
        <w:shd w:val="clear" w:color="auto" w:fill="FFFFFF"/>
        <w:spacing w:before="0" w:beforeAutospacing="0" w:after="0" w:afterAutospacing="0"/>
        <w:ind w:firstLine="0" w:firstLineChars="0"/>
        <w:jc w:val="righ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262626"/>
          <w:spacing w:val="8"/>
          <w:sz w:val="30"/>
          <w:szCs w:val="30"/>
          <w:lang w:bidi="ar"/>
        </w:rPr>
        <w:t xml:space="preserve">    图/文：刘玲钰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pingfang sc">
    <w:altName w:val="宋体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  <w:jc w:val="right"/>
    </w:pPr>
    <w:r>
      <w:drawing>
        <wp:inline distT="0" distB="0" distL="0" distR="0">
          <wp:extent cx="2704465" cy="318770"/>
          <wp:effectExtent l="0" t="0" r="635" b="5080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4693" cy="3189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79"/>
    <w:rsid w:val="001B13EF"/>
    <w:rsid w:val="001C1911"/>
    <w:rsid w:val="002259EF"/>
    <w:rsid w:val="00295153"/>
    <w:rsid w:val="002D279E"/>
    <w:rsid w:val="003362AF"/>
    <w:rsid w:val="0037502C"/>
    <w:rsid w:val="00392A00"/>
    <w:rsid w:val="003B50F7"/>
    <w:rsid w:val="00481C59"/>
    <w:rsid w:val="005710F2"/>
    <w:rsid w:val="00641FBE"/>
    <w:rsid w:val="007024A3"/>
    <w:rsid w:val="0071318B"/>
    <w:rsid w:val="00803A68"/>
    <w:rsid w:val="009C1F79"/>
    <w:rsid w:val="00D82F96"/>
    <w:rsid w:val="00D86331"/>
    <w:rsid w:val="00E525D8"/>
    <w:rsid w:val="00E671F8"/>
    <w:rsid w:val="00EC5DBE"/>
    <w:rsid w:val="00EE3779"/>
    <w:rsid w:val="00FE64A5"/>
    <w:rsid w:val="01455AD2"/>
    <w:rsid w:val="01DD2AAA"/>
    <w:rsid w:val="099939EC"/>
    <w:rsid w:val="0C7B22C9"/>
    <w:rsid w:val="0E190131"/>
    <w:rsid w:val="0E691CFF"/>
    <w:rsid w:val="12A06CFD"/>
    <w:rsid w:val="14F300F4"/>
    <w:rsid w:val="17485BB5"/>
    <w:rsid w:val="18BB169F"/>
    <w:rsid w:val="1AF84102"/>
    <w:rsid w:val="1B420DC6"/>
    <w:rsid w:val="1B7D1530"/>
    <w:rsid w:val="1D427129"/>
    <w:rsid w:val="22026219"/>
    <w:rsid w:val="22BA7428"/>
    <w:rsid w:val="2404100C"/>
    <w:rsid w:val="277C377C"/>
    <w:rsid w:val="28BB1234"/>
    <w:rsid w:val="29AE7EFD"/>
    <w:rsid w:val="2B004385"/>
    <w:rsid w:val="2B1F31E7"/>
    <w:rsid w:val="2B4C23BA"/>
    <w:rsid w:val="2B852ADC"/>
    <w:rsid w:val="2C466C2E"/>
    <w:rsid w:val="33E617C5"/>
    <w:rsid w:val="36A5356B"/>
    <w:rsid w:val="37F1651B"/>
    <w:rsid w:val="38415EE0"/>
    <w:rsid w:val="38561207"/>
    <w:rsid w:val="38B642D4"/>
    <w:rsid w:val="392D2A30"/>
    <w:rsid w:val="3D7A3941"/>
    <w:rsid w:val="3DEC2BA2"/>
    <w:rsid w:val="3E810EE1"/>
    <w:rsid w:val="40C126A5"/>
    <w:rsid w:val="41FB544E"/>
    <w:rsid w:val="4335138C"/>
    <w:rsid w:val="45D24718"/>
    <w:rsid w:val="47344547"/>
    <w:rsid w:val="47FFDB8A"/>
    <w:rsid w:val="483B65A4"/>
    <w:rsid w:val="48BD4D90"/>
    <w:rsid w:val="48EF2122"/>
    <w:rsid w:val="49FE3F4F"/>
    <w:rsid w:val="4DFF1E22"/>
    <w:rsid w:val="4EAA4A05"/>
    <w:rsid w:val="5007334C"/>
    <w:rsid w:val="572D6C65"/>
    <w:rsid w:val="57B76B84"/>
    <w:rsid w:val="58212841"/>
    <w:rsid w:val="58902B35"/>
    <w:rsid w:val="58DB531F"/>
    <w:rsid w:val="5AA004E9"/>
    <w:rsid w:val="5C500299"/>
    <w:rsid w:val="5C7252D6"/>
    <w:rsid w:val="5CAD5DC7"/>
    <w:rsid w:val="5FDE4B10"/>
    <w:rsid w:val="60475FBF"/>
    <w:rsid w:val="60C05441"/>
    <w:rsid w:val="62475BA8"/>
    <w:rsid w:val="639135A8"/>
    <w:rsid w:val="6401192F"/>
    <w:rsid w:val="64994927"/>
    <w:rsid w:val="66020858"/>
    <w:rsid w:val="68CF6B69"/>
    <w:rsid w:val="6D127F2F"/>
    <w:rsid w:val="70716758"/>
    <w:rsid w:val="71931163"/>
    <w:rsid w:val="73F70F09"/>
    <w:rsid w:val="7955454E"/>
    <w:rsid w:val="7D51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 w:locked="1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 w:line="360" w:lineRule="auto"/>
      <w:ind w:firstLine="200" w:firstLineChars="200"/>
      <w:jc w:val="both"/>
    </w:pPr>
    <w:rPr>
      <w:rFonts w:ascii="Calibri" w:hAnsi="Calibri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qFormat/>
    <w:uiPriority w:val="99"/>
    <w:pPr>
      <w:jc w:val="left"/>
    </w:pPr>
  </w:style>
  <w:style w:type="paragraph" w:styleId="4">
    <w:name w:val="Body Text Indent 2"/>
    <w:basedOn w:val="1"/>
    <w:link w:val="17"/>
    <w:qFormat/>
    <w:uiPriority w:val="99"/>
    <w:pPr>
      <w:spacing w:line="300" w:lineRule="auto"/>
      <w:ind w:firstLine="480"/>
    </w:pPr>
    <w:rPr>
      <w:rFonts w:ascii="宋体" w:hAnsi="宋体" w:eastAsia="宋体"/>
      <w:color w:val="000000"/>
      <w:sz w:val="24"/>
      <w:szCs w:val="20"/>
    </w:rPr>
  </w:style>
  <w:style w:type="paragraph" w:styleId="5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1"/>
    <w:semiHidden/>
    <w:qFormat/>
    <w:uiPriority w:val="99"/>
    <w:rPr>
      <w:b/>
      <w:bCs/>
    </w:rPr>
  </w:style>
  <w:style w:type="character" w:styleId="12">
    <w:name w:val="Strong"/>
    <w:basedOn w:val="11"/>
    <w:qFormat/>
    <w:locked/>
    <w:uiPriority w:val="99"/>
    <w:rPr>
      <w:rFonts w:cs="Times New Roman"/>
      <w:b/>
      <w:bCs/>
    </w:rPr>
  </w:style>
  <w:style w:type="character" w:styleId="13">
    <w:name w:val="Emphasis"/>
    <w:basedOn w:val="11"/>
    <w:qFormat/>
    <w:uiPriority w:val="99"/>
    <w:rPr>
      <w:rFonts w:cs="Times New Roman"/>
      <w:color w:val="CC0000"/>
    </w:rPr>
  </w:style>
  <w:style w:type="character" w:styleId="14">
    <w:name w:val="annotation reference"/>
    <w:basedOn w:val="11"/>
    <w:semiHidden/>
    <w:qFormat/>
    <w:uiPriority w:val="99"/>
    <w:rPr>
      <w:rFonts w:cs="Times New Roman"/>
      <w:sz w:val="21"/>
      <w:szCs w:val="21"/>
    </w:rPr>
  </w:style>
  <w:style w:type="character" w:customStyle="1" w:styleId="15">
    <w:name w:val="标题 1 Char"/>
    <w:basedOn w:val="11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6">
    <w:name w:val="批注文字 Char"/>
    <w:basedOn w:val="11"/>
    <w:link w:val="3"/>
    <w:semiHidden/>
    <w:qFormat/>
    <w:locked/>
    <w:uiPriority w:val="99"/>
    <w:rPr>
      <w:rFonts w:cs="Times New Roman"/>
    </w:rPr>
  </w:style>
  <w:style w:type="character" w:customStyle="1" w:styleId="17">
    <w:name w:val="正文文本缩进 2 Char"/>
    <w:basedOn w:val="11"/>
    <w:link w:val="4"/>
    <w:qFormat/>
    <w:locked/>
    <w:uiPriority w:val="99"/>
    <w:rPr>
      <w:rFonts w:ascii="宋体" w:hAnsi="宋体" w:eastAsia="宋体" w:cs="Times New Roman"/>
      <w:color w:val="000000"/>
      <w:sz w:val="20"/>
      <w:szCs w:val="20"/>
    </w:rPr>
  </w:style>
  <w:style w:type="character" w:customStyle="1" w:styleId="18">
    <w:name w:val="批注框文本 Char"/>
    <w:basedOn w:val="11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9">
    <w:name w:val="页脚 Char"/>
    <w:basedOn w:val="11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页眉 Char"/>
    <w:basedOn w:val="11"/>
    <w:link w:val="7"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批注主题 Char"/>
    <w:basedOn w:val="16"/>
    <w:link w:val="9"/>
    <w:semiHidden/>
    <w:qFormat/>
    <w:locked/>
    <w:uiPriority w:val="99"/>
    <w:rPr>
      <w:rFonts w:cs="Times New Roman"/>
      <w:b/>
      <w:bCs/>
    </w:rPr>
  </w:style>
  <w:style w:type="paragraph" w:customStyle="1" w:styleId="22">
    <w:name w:val="列出段落1"/>
    <w:basedOn w:val="1"/>
    <w:qFormat/>
    <w:uiPriority w:val="99"/>
    <w:pPr>
      <w:ind w:firstLine="420"/>
    </w:pPr>
  </w:style>
  <w:style w:type="paragraph" w:customStyle="1" w:styleId="23">
    <w:name w:val="TOC 标题1"/>
    <w:basedOn w:val="2"/>
    <w:next w:val="1"/>
    <w:qFormat/>
    <w:uiPriority w:val="9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table" w:customStyle="1" w:styleId="24">
    <w:name w:val="网格表 4 - 着色 11"/>
    <w:qFormat/>
    <w:uiPriority w:val="99"/>
    <w:tblPr>
      <w:tblBorders>
        <w:top w:val="single" w:color="95B3D7" w:sz="4" w:space="0"/>
        <w:left w:val="single" w:color="95B3D7" w:sz="4" w:space="0"/>
        <w:bottom w:val="single" w:color="95B3D7" w:sz="4" w:space="0"/>
        <w:right w:val="single" w:color="95B3D7" w:sz="4" w:space="0"/>
        <w:insideH w:val="single" w:color="95B3D7" w:sz="4" w:space="0"/>
        <w:insideV w:val="single" w:color="95B3D7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bjh-p"/>
    <w:basedOn w:val="11"/>
    <w:qFormat/>
    <w:uiPriority w:val="99"/>
    <w:rPr>
      <w:rFonts w:cs="Times New Roman"/>
    </w:rPr>
  </w:style>
  <w:style w:type="paragraph" w:customStyle="1" w:styleId="26">
    <w:name w:val="p1"/>
    <w:basedOn w:val="1"/>
    <w:qFormat/>
    <w:uiPriority w:val="0"/>
    <w:pPr>
      <w:shd w:val="clear" w:color="auto" w:fill="FFFFFF"/>
      <w:spacing w:before="0" w:after="0"/>
      <w:jc w:val="center"/>
    </w:pPr>
    <w:rPr>
      <w:rFonts w:ascii="Helvetica" w:hAnsi="Helvetica" w:eastAsia="Helvetica"/>
      <w:color w:val="262626"/>
      <w:kern w:val="0"/>
      <w:szCs w:val="28"/>
    </w:rPr>
  </w:style>
  <w:style w:type="character" w:customStyle="1" w:styleId="27">
    <w:name w:val="s1"/>
    <w:basedOn w:val="11"/>
    <w:qFormat/>
    <w:uiPriority w:val="0"/>
    <w:rPr>
      <w:spacing w:val="8"/>
    </w:rPr>
  </w:style>
  <w:style w:type="paragraph" w:customStyle="1" w:styleId="28">
    <w:name w:val="p2"/>
    <w:basedOn w:val="1"/>
    <w:qFormat/>
    <w:uiPriority w:val="0"/>
    <w:pPr>
      <w:shd w:val="clear" w:color="auto" w:fill="FFFFFF"/>
      <w:spacing w:before="0" w:after="0"/>
    </w:pPr>
    <w:rPr>
      <w:rFonts w:ascii="pingfang sc" w:hAnsi="pingfang sc" w:eastAsia="pingfang sc"/>
      <w:color w:val="262626"/>
      <w:kern w:val="0"/>
      <w:sz w:val="30"/>
      <w:szCs w:val="30"/>
    </w:rPr>
  </w:style>
  <w:style w:type="character" w:customStyle="1" w:styleId="29">
    <w:name w:val="s2"/>
    <w:basedOn w:val="11"/>
    <w:qFormat/>
    <w:uiPriority w:val="0"/>
    <w:rPr>
      <w:spacing w:val="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C0CA44-0F46-482A-AC8A-B964EA8FDC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www.dadighost.com</Company>
  <Pages>3</Pages>
  <Words>166</Words>
  <Characters>951</Characters>
  <Lines>7</Lines>
  <Paragraphs>2</Paragraphs>
  <TotalTime>1</TotalTime>
  <ScaleCrop>false</ScaleCrop>
  <LinksUpToDate>false</LinksUpToDate>
  <CharactersWithSpaces>1115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2021-12-03T01:17:00Z</dcterms:created>
  <dc:creator>刘悟宇</dc:creator>
  <cp:lastModifiedBy>钰崽</cp:lastModifiedBy>
  <cp:lastPrinted>2019-09-21T21:43:00Z</cp:lastPrinted>
  <dcterms:modified xsi:type="dcterms:W3CDTF">2021-12-03T01:18:10Z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568AD49AE33A6C824A4B4461CD183D3B</vt:lpwstr>
  </property>
</Properties>
</file>