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 w:lineRule="atLeast"/>
        <w:ind w:firstLine="0" w:firstLineChars="0"/>
        <w:jc w:val="center"/>
        <w:rPr>
          <w:rFonts w:hint="eastAsia" w:ascii="微软雅黑" w:hAnsi="微软雅黑" w:eastAsia="微软雅黑"/>
          <w:b/>
          <w:color w:val="003366"/>
          <w:sz w:val="44"/>
          <w:szCs w:val="44"/>
          <w:lang w:val="en-US" w:eastAsia="zh-CN"/>
        </w:rPr>
      </w:pPr>
      <w:bookmarkStart w:id="0" w:name="_Hlk14171058"/>
      <w:r>
        <w:rPr>
          <w:rFonts w:hint="eastAsia" w:ascii="微软雅黑" w:hAnsi="微软雅黑" w:eastAsia="微软雅黑"/>
          <w:b/>
          <w:color w:val="003366"/>
          <w:sz w:val="44"/>
          <w:szCs w:val="44"/>
          <w:lang w:val="en-US" w:eastAsia="zh-CN"/>
        </w:rPr>
        <w:t>贯彻新职教法 助力产教融合</w:t>
      </w:r>
    </w:p>
    <w:p>
      <w:pPr>
        <w:spacing w:line="100" w:lineRule="atLeast"/>
        <w:ind w:firstLine="0" w:firstLineChars="0"/>
        <w:jc w:val="center"/>
        <w:rPr>
          <w:rFonts w:hint="default" w:ascii="微软雅黑" w:hAnsi="微软雅黑" w:eastAsia="微软雅黑"/>
          <w:b/>
          <w:color w:val="003366"/>
          <w:sz w:val="44"/>
          <w:szCs w:val="44"/>
          <w:lang w:val="en-US" w:eastAsia="zh-CN"/>
        </w:rPr>
      </w:pPr>
      <w:r>
        <w:rPr>
          <w:rFonts w:hint="eastAsia" w:ascii="微软雅黑" w:hAnsi="微软雅黑" w:eastAsia="微软雅黑"/>
          <w:b/>
          <w:color w:val="003366"/>
          <w:sz w:val="44"/>
          <w:szCs w:val="44"/>
          <w:lang w:val="en-US" w:eastAsia="zh-CN"/>
        </w:rPr>
        <w:t>宏信证券红庙子街投教基地成为四川财经职业学院金融学院“就业实习基地”</w:t>
      </w:r>
    </w:p>
    <w:p>
      <w:pPr>
        <w:ind w:firstLine="7361" w:firstLineChars="2629"/>
        <w:jc w:val="center"/>
        <w:rPr>
          <w:rFonts w:ascii="微软雅黑" w:hAnsi="微软雅黑" w:eastAsia="微软雅黑"/>
          <w:b/>
          <w:color w:val="003366"/>
          <w:sz w:val="22"/>
        </w:rPr>
      </w:pPr>
      <w:r>
        <w:rPr>
          <w:rFonts w:ascii="微软雅黑" w:hAnsi="微软雅黑" w:eastAsia="微软雅黑"/>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287655</wp:posOffset>
                </wp:positionV>
                <wp:extent cx="2661920" cy="419735"/>
                <wp:effectExtent l="4445" t="5080" r="19685" b="1333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661920" cy="419735"/>
                        </a:xfrm>
                        <a:prstGeom prst="rect">
                          <a:avLst/>
                        </a:prstGeom>
                        <a:solidFill>
                          <a:srgbClr val="FFFFFF"/>
                        </a:solidFill>
                        <a:ln w="9525">
                          <a:solidFill>
                            <a:srgbClr val="FFFFFF"/>
                          </a:solidFill>
                          <a:miter lim="800000"/>
                        </a:ln>
                        <a:effectLst/>
                      </wps:spPr>
                      <wps:txbx>
                        <w:txbxContent>
                          <w:p>
                            <w:pPr>
                              <w:ind w:firstLine="216" w:firstLineChars="98"/>
                              <w:rPr>
                                <w:rFonts w:ascii="黑体" w:hAnsi="黑体" w:eastAsia="黑体"/>
                                <w:b/>
                                <w:color w:val="003366"/>
                                <w:sz w:val="22"/>
                              </w:rPr>
                            </w:pPr>
                            <w:r>
                              <w:rPr>
                                <w:rFonts w:ascii="黑体" w:hAnsi="黑体" w:eastAsia="黑体"/>
                                <w:b/>
                                <w:color w:val="003366"/>
                                <w:sz w:val="22"/>
                              </w:rPr>
                              <w:t xml:space="preserve"> </w:t>
                            </w:r>
                            <w:r>
                              <w:rPr>
                                <w:rFonts w:hint="eastAsia" w:ascii="黑体" w:hAnsi="黑体" w:eastAsia="黑体"/>
                                <w:b/>
                                <w:color w:val="003366"/>
                                <w:sz w:val="22"/>
                              </w:rPr>
                              <w:t>宏信证券红庙子街投教基地</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85pt;margin-top:22.65pt;height:33.05pt;width:209.6pt;z-index:251659264;mso-width-relative:page;mso-height-relative:page;" fillcolor="#FFFFFF" filled="t" stroked="t" coordsize="21600,21600" o:gfxdata="UEsDBAoAAAAAAIdO4kAAAAAAAAAAAAAAAAAEAAAAZHJzL1BLAwQUAAAACACHTuJA1NgLvtgAAAAJ&#10;AQAADwAAAGRycy9kb3ducmV2LnhtbE2PwU7DMBBE70j8g7VIXFBrJ6RAQ5wKVSDOLVy4ufE2iYjX&#10;Sew2LV/PcirH1TzNvC1WJ9eJI46h9aQhmSsQSJW3LdUaPj/eZk8gQjRkTecJNZwxwKq8vipMbv1E&#10;GzxuYy24hEJuNDQx9rmUoWrQmTD3PRJnez86E/kca2lHM3G562Sq1IN0piVeaEyP6war7+3BafDT&#10;69l5HFR69/Xj3tcvw2afDlrf3iTqGUTEU7zA8KfP6lCy084fyAbRaZgtH5nUkC3uQXCeqeUCxI7B&#10;JMlAloX8/0H5C1BLAwQUAAAACACHTuJAPqMdFioCAABHBAAADgAAAGRycy9lMm9Eb2MueG1srVPN&#10;jtMwEL4j8Q6W7zRNabvbqOlq6aoIafmRFh7AcZzEwvEY222yPAD7Bpy4cOe5+hyMnWyp4IIQOVh2&#10;ZvzN5++bWV/1rSIHYZ0EndN0MqVEaA6l1HVOP7zfPbukxHmmS6ZAi5zeC0evNk+frDuTiRk0oEph&#10;CYJol3Ump433JksSxxvRMjcBIzQGK7At83i0dVJa1iF6q5LZdLpMOrClscCFc/j3ZgjSTcSvKsH9&#10;26pywhOVU+Tm42rjWoQ12axZVltmGslHGuwfWLRMaix6grphnpG9lX9AtZJbcFD5CYc2gaqSXMQ3&#10;4GvS6W+vuWuYEfEtKI4zJ5nc/4Plbw7vLJElekeJZi1adPz6cPz24/j9C5kFeTrjMsy6M5jn+xfQ&#10;h9TwVGdugX90RMO2YboW19ZC1whWIr003EzOrg44LoAU3WsosQ7be4hAfWXbAIhqEERHm+5P1oje&#10;E44/Z8tlupphiGNsnq4uni9iCZY93jbW+ZcCWhI2ObVofURnh1vnAxuWPaZE9qBkuZNKxYOti62y&#10;5MCwTXbxG9HdeZrSpMvpajFbDAKcx9zfQbTSY78r2eb0chq+sY7SgYeIHTvyDeoFwQbpfF/0oxsF&#10;lPeoo4Whm3H6cNOA/UxJh52cU/dpz6ygRL3S6MUqnc9D68fDfHERVLTnkeI8wjRHqJx6Sobt1g/j&#10;sjdW1g1WGtzXcI3+VTJKG6gOrEbXsVuj4uNkhXE4P8esX/O/+Q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U2Au+2AAAAAkBAAAPAAAAAAAAAAEAIAAAACIAAABkcnMvZG93bnJldi54bWxQSwECFAAU&#10;AAAACACHTuJAPqMdFioCAABHBAAADgAAAAAAAAABACAAAAAnAQAAZHJzL2Uyb0RvYy54bWxQSwUG&#10;AAAAAAYABgBZAQAAwwUAAAAA&#10;">
                <v:fill on="t" focussize="0,0"/>
                <v:stroke color="#FFFFFF" miterlimit="8" joinstyle="miter"/>
                <v:imagedata o:title=""/>
                <o:lock v:ext="edit" aspectratio="f"/>
                <v:textbox>
                  <w:txbxContent>
                    <w:p>
                      <w:pPr>
                        <w:ind w:firstLine="216" w:firstLineChars="98"/>
                        <w:rPr>
                          <w:rFonts w:ascii="黑体" w:hAnsi="黑体" w:eastAsia="黑体"/>
                          <w:b/>
                          <w:color w:val="003366"/>
                          <w:sz w:val="22"/>
                        </w:rPr>
                      </w:pPr>
                      <w:r>
                        <w:rPr>
                          <w:rFonts w:ascii="黑体" w:hAnsi="黑体" w:eastAsia="黑体"/>
                          <w:b/>
                          <w:color w:val="003366"/>
                          <w:sz w:val="22"/>
                        </w:rPr>
                        <w:t xml:space="preserve"> </w:t>
                      </w:r>
                      <w:r>
                        <w:rPr>
                          <w:rFonts w:hint="eastAsia" w:ascii="黑体" w:hAnsi="黑体" w:eastAsia="黑体"/>
                          <w:b/>
                          <w:color w:val="003366"/>
                          <w:sz w:val="22"/>
                        </w:rPr>
                        <w:t>宏信证券红庙子街投教基地</w:t>
                      </w:r>
                    </w:p>
                  </w:txbxContent>
                </v:textbox>
              </v:shape>
            </w:pict>
          </mc:Fallback>
        </mc:AlternateContent>
      </w:r>
    </w:p>
    <w:p>
      <w:pPr>
        <w:ind w:firstLine="5082" w:firstLineChars="2309"/>
        <w:jc w:val="right"/>
        <w:rPr>
          <w:rFonts w:ascii="微软雅黑" w:hAnsi="微软雅黑" w:eastAsia="微软雅黑"/>
          <w:b/>
          <w:color w:val="003366"/>
          <w:sz w:val="22"/>
        </w:rPr>
      </w:pPr>
      <w:r>
        <w:rPr>
          <w:rFonts w:ascii="微软雅黑" w:hAnsi="微软雅黑" w:eastAsia="微软雅黑"/>
          <w:b/>
          <w:color w:val="003366"/>
          <w:sz w:val="22"/>
        </w:rPr>
        <w:t>20</w:t>
      </w:r>
      <w:r>
        <w:rPr>
          <w:rFonts w:hint="eastAsia" w:ascii="微软雅黑" w:hAnsi="微软雅黑" w:eastAsia="微软雅黑"/>
          <w:b/>
          <w:color w:val="003366"/>
          <w:sz w:val="22"/>
        </w:rPr>
        <w:t>22年6月</w:t>
      </w:r>
      <w:r>
        <w:rPr>
          <w:rFonts w:hint="eastAsia" w:ascii="微软雅黑" w:hAnsi="微软雅黑" w:eastAsia="微软雅黑"/>
          <w:b/>
          <w:color w:val="003366"/>
          <w:sz w:val="22"/>
          <w:lang w:val="en-US" w:eastAsia="zh-CN"/>
        </w:rPr>
        <w:t>9</w:t>
      </w:r>
      <w:r>
        <w:rPr>
          <w:rFonts w:hint="eastAsia" w:ascii="微软雅黑" w:hAnsi="微软雅黑" w:eastAsia="微软雅黑"/>
          <w:b/>
          <w:color w:val="003366"/>
          <w:sz w:val="22"/>
        </w:rPr>
        <w:t>日</w:t>
      </w:r>
    </w:p>
    <w:p>
      <w:pPr>
        <w:ind w:firstLine="840" w:firstLineChars="300"/>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mc:AlternateContent>
          <mc:Choice Requires="wpg">
            <w:drawing>
              <wp:anchor distT="0" distB="0" distL="114300" distR="114300" simplePos="0" relativeHeight="251660288" behindDoc="0" locked="0" layoutInCell="1" allowOverlap="1">
                <wp:simplePos x="0" y="0"/>
                <wp:positionH relativeFrom="column">
                  <wp:posOffset>29210</wp:posOffset>
                </wp:positionH>
                <wp:positionV relativeFrom="paragraph">
                  <wp:posOffset>141605</wp:posOffset>
                </wp:positionV>
                <wp:extent cx="6667500" cy="635"/>
                <wp:effectExtent l="0" t="44450" r="0" b="50165"/>
                <wp:wrapNone/>
                <wp:docPr id="45" name="组合 3"/>
                <wp:cNvGraphicFramePr/>
                <a:graphic xmlns:a="http://schemas.openxmlformats.org/drawingml/2006/main">
                  <a:graphicData uri="http://schemas.microsoft.com/office/word/2010/wordprocessingGroup">
                    <wpg:wgp>
                      <wpg:cNvGrpSpPr/>
                      <wpg:grpSpPr>
                        <a:xfrm>
                          <a:off x="0" y="0"/>
                          <a:ext cx="6667500" cy="635"/>
                          <a:chOff x="2339" y="5770"/>
                          <a:chExt cx="8302" cy="1"/>
                        </a:xfrm>
                        <a:effectLst/>
                      </wpg:grpSpPr>
                      <wps:wsp>
                        <wps:cNvPr id="46" name="Line 6"/>
                        <wps:cNvCnPr/>
                        <wps:spPr bwMode="auto">
                          <a:xfrm flipV="1">
                            <a:off x="2339" y="5770"/>
                            <a:ext cx="5479" cy="1"/>
                          </a:xfrm>
                          <a:prstGeom prst="line">
                            <a:avLst/>
                          </a:prstGeom>
                          <a:noFill/>
                          <a:ln w="88900">
                            <a:solidFill>
                              <a:srgbClr val="000000"/>
                            </a:solidFill>
                            <a:round/>
                          </a:ln>
                          <a:effectLst/>
                        </wps:spPr>
                        <wps:bodyPr/>
                      </wps:wsp>
                      <wps:wsp>
                        <wps:cNvPr id="47" name="Line 7"/>
                        <wps:cNvCnPr/>
                        <wps:spPr bwMode="auto">
                          <a:xfrm>
                            <a:off x="7818" y="5770"/>
                            <a:ext cx="2823" cy="0"/>
                          </a:xfrm>
                          <a:prstGeom prst="line">
                            <a:avLst/>
                          </a:prstGeom>
                          <a:noFill/>
                          <a:ln w="88900">
                            <a:solidFill>
                              <a:srgbClr val="3366FF"/>
                            </a:solidFill>
                            <a:round/>
                          </a:ln>
                          <a:effectLst/>
                        </wps:spPr>
                        <wps:bodyPr/>
                      </wps:wsp>
                    </wpg:wgp>
                  </a:graphicData>
                </a:graphic>
              </wp:anchor>
            </w:drawing>
          </mc:Choice>
          <mc:Fallback>
            <w:pict>
              <v:group id="组合 3" o:spid="_x0000_s1026" o:spt="203" style="position:absolute;left:0pt;margin-left:2.3pt;margin-top:11.15pt;height:0.05pt;width:525pt;z-index:251660288;mso-width-relative:page;mso-height-relative:page;" coordorigin="2339,5770" coordsize="8302,1" o:gfxdata="UEsDBAoAAAAAAIdO4kAAAAAAAAAAAAAAAAAEAAAAZHJzL1BLAwQUAAAACACHTuJAB6X1R9YAAAAI&#10;AQAADwAAAGRycy9kb3ducmV2LnhtbE2PzWrDMBCE74W+g9hCb41k54fiWg4ltD2FQpNC6W1jbWwT&#10;a2UsxU7evvKpOe7MMPtNvr7YVgzU+8axhmSmQBCXzjRcafjevz89g/AB2WDrmDRcycO6uL/LMTNu&#10;5C8adqESsYR9hhrqELpMSl/WZNHPXEccvaPrLYZ49pU0PY6x3LYyVWolLTYcP9TY0aam8rQ7Ww0f&#10;I46v8+Rt2J6Om+vvfvn5s01I68eHRL2ACHQJ/2GY8CM6FJHp4M5svGg1LFYxqCFN5yAmWy0n5TAp&#10;C5BFLm8HFH9QSwMEFAAAAAgAh07iQExBXY1NAgAAFwYAAA4AAABkcnMvZTJvRG9jLnhtbLWUvW7b&#10;MBDH9wJ9B4J7LVmKJUWwnCGpvaRtgLTdaYr6ACiSIGnL2Tt07Pv0eYq8Ro+UbMdul6awBko88k53&#10;v/+R85tdx9GWadNKUeDpJMSICSrLVtQF/vJ5+S7DyFgiSsKlYAV+YgbfLN6+mfcqZ5FsJC+ZRhBE&#10;mLxXBW6sVXkQGNqwjpiJVEzAYiV1RyxMdR2UmvQQveNBFIZJ0EtdKi0pMwasd8MiXvj4VcWo/VRV&#10;hlnECwy5WT9qP67dGCzmJK81UU1LxzTIK7LoSCvgp4dQd8QStNHtH6G6lmppZGUnVHaBrKqWMl8D&#10;VDMNz6pZablRvpY672t1wARozzi9Oiz9uH3QqC0LfDXDSJAONHr++e3Xj+8odnB6VeewZ6XVo3rQ&#10;o6EeZq7eXaU794ZK0M5jfTpgZTuLKBiTJElnIdCnsJbEswE6bUAZ5xPF8TVGsDRL01EQ2rwffbM4&#10;jAbHqXMLjn9kXt17Y53ZpXnIqlfQS+aIy/wfrseGKOZVMA7FHleyx3XfCoaSAZbfcStGUiY3AA2t&#10;+w+yBK5kY6VvEgcNVbxVX+HIeMuI7y8o9hBnVylQcgTPQSht7IrJDrmPAnNIx8ck2xEOyfdbnFJC&#10;LlvOARrJuUB9gbPsGsRxcyN5W7pVP9H1+pZrtCXu6PhnVOBkG7SoKAdluHB+Z7oMDFwjmXwtyyeP&#10;BvTyEg3my2uVnmiV/qtWrqxRoTSbwo120qx7haIsigeFfBe/aNU9/ksqFMdJslxeQCF/tuD28Ydv&#10;vCnd9fZy7k/g8T5f/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pfVH1gAAAAgBAAAPAAAAAAAA&#10;AAEAIAAAACIAAABkcnMvZG93bnJldi54bWxQSwECFAAUAAAACACHTuJATEFdjU0CAAAXBgAADgAA&#10;AAAAAAABACAAAAAlAQAAZHJzL2Uyb0RvYy54bWxQSwUGAAAAAAYABgBZAQAA5AUAAAAA&#10;">
                <o:lock v:ext="edit" aspectratio="f"/>
                <v:line id="Line 6" o:spid="_x0000_s1026" o:spt="20" style="position:absolute;left:2339;top:5770;flip:y;height:1;width:5479;" filled="f" stroked="t" coordsize="21600,21600" o:gfxdata="UEsDBAoAAAAAAIdO4kAAAAAAAAAAAAAAAAAEAAAAZHJzL1BLAwQUAAAACACHTuJAOvF6MrwAAADb&#10;AAAADwAAAGRycy9kb3ducmV2LnhtbEWPQYvCMBSE7wv+h/AEb2vqIiJd04Liol4WWoW9PptnW21e&#10;ShO1/nuzIHgcZuYbZpH2phE36lxtWcFkHIEgLqyuuVRw2P98zkE4j6yxsUwKHuQgTQYfC4y1vXNG&#10;t9yXIkDYxaig8r6NpXRFRQbd2LbEwTvZzqAPsiul7vAe4KaRX1E0kwZrDgsVtrSqqLjkV6Og/a2P&#10;efa3kbuM8HB28+V6f+6VGg0n0TcIT71/h1/trVYwncH/l/ADZP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xejK8AAAA&#10;2wAAAA8AAAAAAAAAAQAgAAAAIgAAAGRycy9kb3ducmV2LnhtbFBLAQIUABQAAAAIAIdO4kAzLwWe&#10;OwAAADkAAAAQAAAAAAAAAAEAIAAAAAsBAABkcnMvc2hhcGV4bWwueG1sUEsFBgAAAAAGAAYAWwEA&#10;ALUDAAAAAA==&#10;">
                  <v:fill on="f" focussize="0,0"/>
                  <v:stroke weight="7pt" color="#000000" joinstyle="round"/>
                  <v:imagedata o:title=""/>
                  <o:lock v:ext="edit" aspectratio="f"/>
                </v:line>
                <v:line id="Line 7" o:spid="_x0000_s1026" o:spt="20" style="position:absolute;left:7818;top:5770;height:0;width:2823;" filled="f" stroked="t" coordsize="21600,21600" o:gfxdata="UEsDBAoAAAAAAIdO4kAAAAAAAAAAAAAAAAAEAAAAZHJzL1BLAwQUAAAACACHTuJAo6EK8rkAAADb&#10;AAAADwAAAGRycy9kb3ducmV2LnhtbEWPywrCMBRE94L/EK7gRjRVxEc1ulAEEV34+IBLc/vA5qY0&#10;0erfG0FwOczMGWa5fplSPKl2hWUFw0EEgjixuuBMwe26689AOI+ssbRMCt7kYL1qt5YYa9vwmZ4X&#10;n4kAYRejgtz7KpbSJTkZdANbEQcvtbVBH2SdSV1jE+CmlKMomkiDBYeFHCva5JTcLw8TKBt3PpQ0&#10;2cqR7jXH0z116TxVqtsZRgsQnl7+H/6191rBeArfL+EHyN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OhCvK5AAAA2wAA&#10;AA8AAAAAAAAAAQAgAAAAIgAAAGRycy9kb3ducmV2LnhtbFBLAQIUABQAAAAIAIdO4kAzLwWeOwAA&#10;ADkAAAAQAAAAAAAAAAEAIAAAAAgBAABkcnMvc2hhcGV4bWwueG1sUEsFBgAAAAAGAAYAWwEAALID&#10;AAAAAA==&#10;">
                  <v:fill on="f" focussize="0,0"/>
                  <v:stroke weight="7pt" color="#3366FF" joinstyle="round"/>
                  <v:imagedata o:title=""/>
                  <o:lock v:ext="edit" aspectratio="f"/>
                </v:line>
              </v:group>
            </w:pict>
          </mc:Fallback>
        </mc:AlternateContent>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为深入贯彻落实国家职业技能人才培养政策，进一步推动和深化产教融合、校企合作，强化产教融合型企业的带动引领示范作用，2022年5月1日，新修订的《中华人民共和国职业教育法》经全国人大常委会审议通过并正式实施。</w:t>
      </w:r>
      <w:r>
        <w:rPr>
          <w:rFonts w:hint="eastAsia" w:asciiTheme="minorEastAsia" w:hAnsiTheme="minorEastAsia" w:eastAsiaTheme="minorEastAsia" w:cstheme="minorEastAsia"/>
          <w:szCs w:val="28"/>
          <w:lang w:val="en-US" w:eastAsia="zh-CN"/>
        </w:rPr>
        <w:t>2022年</w:t>
      </w:r>
      <w:r>
        <w:rPr>
          <w:rFonts w:hint="eastAsia" w:asciiTheme="minorEastAsia" w:hAnsiTheme="minorEastAsia" w:eastAsiaTheme="minorEastAsia" w:cstheme="minorEastAsia"/>
          <w:szCs w:val="28"/>
        </w:rPr>
        <w:t>6月7日宏信证券红庙子街投教基地</w:t>
      </w:r>
      <w:r>
        <w:rPr>
          <w:rFonts w:hint="eastAsia" w:asciiTheme="minorEastAsia" w:hAnsiTheme="minorEastAsia" w:eastAsiaTheme="minorEastAsia" w:cstheme="minorEastAsia"/>
          <w:szCs w:val="28"/>
          <w:lang w:eastAsia="zh-CN"/>
        </w:rPr>
        <w:t>（</w:t>
      </w:r>
      <w:r>
        <w:rPr>
          <w:rFonts w:hint="eastAsia" w:asciiTheme="minorEastAsia" w:hAnsiTheme="minorEastAsia" w:eastAsiaTheme="minorEastAsia" w:cstheme="minorEastAsia"/>
          <w:szCs w:val="28"/>
          <w:lang w:val="en-US" w:eastAsia="zh-CN"/>
        </w:rPr>
        <w:t>以下简称投教基地）</w:t>
      </w:r>
      <w:r>
        <w:rPr>
          <w:rFonts w:hint="eastAsia" w:asciiTheme="minorEastAsia" w:hAnsiTheme="minorEastAsia" w:eastAsiaTheme="minorEastAsia" w:cstheme="minorEastAsia"/>
          <w:szCs w:val="28"/>
        </w:rPr>
        <w:t>受邀到四川财经职业学院</w:t>
      </w:r>
      <w:r>
        <w:rPr>
          <w:rFonts w:hint="eastAsia" w:asciiTheme="minorEastAsia" w:hAnsiTheme="minorEastAsia" w:eastAsiaTheme="minorEastAsia" w:cstheme="minorEastAsia"/>
          <w:szCs w:val="28"/>
          <w:lang w:eastAsia="zh-CN"/>
        </w:rPr>
        <w:t>（</w:t>
      </w:r>
      <w:r>
        <w:rPr>
          <w:rFonts w:hint="eastAsia" w:asciiTheme="minorEastAsia" w:hAnsiTheme="minorEastAsia" w:eastAsiaTheme="minorEastAsia" w:cstheme="minorEastAsia"/>
          <w:szCs w:val="28"/>
          <w:lang w:val="en-US" w:eastAsia="zh-CN"/>
        </w:rPr>
        <w:t>以下简称财院</w:t>
      </w:r>
      <w:r>
        <w:rPr>
          <w:rFonts w:hint="eastAsia" w:asciiTheme="minorEastAsia" w:hAnsiTheme="minorEastAsia" w:eastAsiaTheme="minorEastAsia" w:cstheme="minorEastAsia"/>
          <w:szCs w:val="28"/>
          <w:lang w:eastAsia="zh-CN"/>
        </w:rPr>
        <w:t>）</w:t>
      </w:r>
      <w:r>
        <w:rPr>
          <w:rFonts w:hint="eastAsia" w:asciiTheme="minorEastAsia" w:hAnsiTheme="minorEastAsia" w:eastAsiaTheme="minorEastAsia" w:cstheme="minorEastAsia"/>
          <w:szCs w:val="28"/>
        </w:rPr>
        <w:t>参加“金融学院校企合作洽谈会暨人才培养方案审定会”。</w:t>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lang w:val="en-US" w:eastAsia="zh-CN"/>
        </w:rPr>
        <w:t>财院张华书记传达了2022年5月1日起实施的新《中华人民共和国职业教育法》精神，并对前来参会的10余家金融行业及机构人员长期以来对学校的支持表达了衷心的感谢。</w:t>
      </w:r>
      <w:r>
        <w:rPr>
          <w:rFonts w:hint="eastAsia" w:asciiTheme="minorEastAsia" w:hAnsiTheme="minorEastAsia" w:eastAsiaTheme="minorEastAsia" w:cstheme="minorEastAsia"/>
          <w:szCs w:val="28"/>
        </w:rPr>
        <w:t>她讲到，财经职业学院是四川省示范性高职院校</w:t>
      </w:r>
      <w:r>
        <w:rPr>
          <w:rFonts w:hint="eastAsia" w:asciiTheme="minorEastAsia" w:hAnsiTheme="minorEastAsia" w:eastAsiaTheme="minorEastAsia" w:cstheme="minorEastAsia"/>
          <w:szCs w:val="28"/>
          <w:lang w:eastAsia="zh-CN"/>
        </w:rPr>
        <w:t>，</w:t>
      </w:r>
      <w:r>
        <w:rPr>
          <w:rFonts w:hint="eastAsia" w:asciiTheme="minorEastAsia" w:hAnsiTheme="minorEastAsia" w:eastAsiaTheme="minorEastAsia" w:cstheme="minorEastAsia"/>
          <w:szCs w:val="28"/>
          <w:lang w:val="en-US" w:eastAsia="zh-CN"/>
        </w:rPr>
        <w:t>同样是</w:t>
      </w:r>
      <w:r>
        <w:rPr>
          <w:rFonts w:hint="eastAsia" w:asciiTheme="minorEastAsia" w:hAnsiTheme="minorEastAsia" w:eastAsiaTheme="minorEastAsia" w:cstheme="minorEastAsia"/>
          <w:szCs w:val="28"/>
        </w:rPr>
        <w:t>一所历史悠久的、开放的、创新的大学，在教育教学中注重学生高阶思维和深度学习能力的培养，认知能力与非认知能力的提升和结合。自1963年建校以来，学校为四川的经济建设和发展输送了数以万计名优秀的财经管理人才。四川省财政学校（四川财经职业学院）是四川省人事厅批准设立的四川省公务员培训基地；四川省会计学会设立的国家会计专业技术资格考试培训中心；四川省财政厅批准设立的四川省财政干部业务培训基地。多年来，为社会培训了大学院远景批财经管理人才，为四川和全国经济建设作出了突出贡献。</w:t>
      </w:r>
    </w:p>
    <w:p>
      <w:pPr>
        <w:ind w:left="0" w:leftChars="0" w:firstLine="0" w:firstLineChars="0"/>
        <w:rPr>
          <w:rFonts w:hint="eastAsia" w:asciiTheme="minorEastAsia" w:hAnsiTheme="minorEastAsia" w:eastAsiaTheme="minorEastAsia" w:cstheme="minorEastAsia"/>
          <w:szCs w:val="28"/>
          <w:lang w:eastAsia="zh-CN"/>
        </w:rPr>
      </w:pPr>
      <w:r>
        <w:rPr>
          <w:rFonts w:hint="eastAsia" w:asciiTheme="minorEastAsia" w:hAnsiTheme="minorEastAsia" w:eastAsiaTheme="minorEastAsia" w:cstheme="minorEastAsia"/>
          <w:szCs w:val="28"/>
          <w:lang w:eastAsia="zh-CN"/>
        </w:rPr>
        <w:drawing>
          <wp:inline distT="0" distB="0" distL="114300" distR="114300">
            <wp:extent cx="2472690" cy="1648460"/>
            <wp:effectExtent l="0" t="0" r="3810" b="8890"/>
            <wp:docPr id="4" name="图片 4" descr="a98ab4fa01c76a637a20357a1555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98ab4fa01c76a637a20357a1555b1c"/>
                    <pic:cNvPicPr>
                      <a:picLocks noChangeAspect="1"/>
                    </pic:cNvPicPr>
                  </pic:nvPicPr>
                  <pic:blipFill>
                    <a:blip r:embed="rId10"/>
                    <a:stretch>
                      <a:fillRect/>
                    </a:stretch>
                  </pic:blipFill>
                  <pic:spPr>
                    <a:xfrm>
                      <a:off x="0" y="0"/>
                      <a:ext cx="2472690" cy="1648460"/>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484755" cy="1656715"/>
            <wp:effectExtent l="0" t="0" r="10795" b="635"/>
            <wp:docPr id="5" name="图片 5" descr="c2f0ca7bd064d785994c31a215277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2f0ca7bd064d785994c31a2152771a"/>
                    <pic:cNvPicPr>
                      <a:picLocks noChangeAspect="1"/>
                    </pic:cNvPicPr>
                  </pic:nvPicPr>
                  <pic:blipFill>
                    <a:blip r:embed="rId11"/>
                    <a:stretch>
                      <a:fillRect/>
                    </a:stretch>
                  </pic:blipFill>
                  <pic:spPr>
                    <a:xfrm>
                      <a:off x="0" y="0"/>
                      <a:ext cx="2484755" cy="1656715"/>
                    </a:xfrm>
                    <a:prstGeom prst="rect">
                      <a:avLst/>
                    </a:prstGeom>
                  </pic:spPr>
                </pic:pic>
              </a:graphicData>
            </a:graphic>
          </wp:inline>
        </w:drawing>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投教基地刘丹主任作为学校外部专家参与了学校金融学院三大专业人才培养方案的审定。为响应中国证监会、中国证券业协会“推进投资者教育纳入国民教育体系”的号召，提升在校大学生的金融素养，引导高校学生树立理性价值观，基地也会继续加强与学校之间的合作，发挥各自优势，深化合作内涵。同时，基地与金融学院李琳院长沟通了“中金期货视频大赛”的活动情况，李院长表示会积极参与其中，展示财院学子风采。</w:t>
      </w:r>
      <w:r>
        <w:rPr>
          <w:rFonts w:hint="eastAsia" w:asciiTheme="minorEastAsia" w:hAnsiTheme="minorEastAsia" w:eastAsiaTheme="minorEastAsia" w:cstheme="minorEastAsia"/>
          <w:szCs w:val="28"/>
          <w:lang w:val="en-US" w:eastAsia="zh-CN"/>
        </w:rPr>
        <w:t>当天投教基地被正式授牌成为学院</w:t>
      </w:r>
      <w:r>
        <w:rPr>
          <w:rFonts w:hint="eastAsia" w:asciiTheme="minorEastAsia" w:hAnsiTheme="minorEastAsia" w:eastAsiaTheme="minorEastAsia" w:cstheme="minorEastAsia"/>
          <w:szCs w:val="28"/>
        </w:rPr>
        <w:t>“就业实习基地”。</w:t>
      </w:r>
    </w:p>
    <w:p>
      <w:pPr>
        <w:ind w:left="0" w:leftChars="0" w:firstLine="0" w:firstLineChars="0"/>
        <w:jc w:val="left"/>
        <w:rPr>
          <w:rFonts w:hint="default" w:asciiTheme="minorEastAsia" w:hAnsiTheme="minorEastAsia" w:eastAsiaTheme="minorEastAsia" w:cstheme="minorEastAsia"/>
          <w:szCs w:val="28"/>
          <w:lang w:val="en-US"/>
        </w:rPr>
      </w:pPr>
      <w:r>
        <w:rPr>
          <w:rFonts w:hint="eastAsia" w:asciiTheme="minorEastAsia" w:hAnsiTheme="minorEastAsia" w:eastAsiaTheme="minorEastAsia" w:cstheme="minorEastAsia"/>
          <w:szCs w:val="28"/>
          <w:lang w:val="en-US" w:eastAsia="zh-CN"/>
        </w:rPr>
        <w:t xml:space="preserve">   </w:t>
      </w:r>
      <w:r>
        <w:rPr>
          <w:rFonts w:hint="eastAsia" w:asciiTheme="minorEastAsia" w:hAnsiTheme="minorEastAsia" w:eastAsiaTheme="minorEastAsia" w:cstheme="minorEastAsia"/>
          <w:szCs w:val="28"/>
          <w:lang w:val="en-US" w:eastAsia="zh-CN"/>
        </w:rPr>
        <w:drawing>
          <wp:inline distT="0" distB="0" distL="114300" distR="114300">
            <wp:extent cx="2373630" cy="3533775"/>
            <wp:effectExtent l="0" t="0" r="1270" b="9525"/>
            <wp:docPr id="6" name="图片 6" descr="微信图片_202206091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609113317"/>
                    <pic:cNvPicPr>
                      <a:picLocks noChangeAspect="1"/>
                    </pic:cNvPicPr>
                  </pic:nvPicPr>
                  <pic:blipFill>
                    <a:blip r:embed="rId12"/>
                    <a:srcRect r="8785"/>
                    <a:stretch>
                      <a:fillRect/>
                    </a:stretch>
                  </pic:blipFill>
                  <pic:spPr>
                    <a:xfrm>
                      <a:off x="0" y="0"/>
                      <a:ext cx="2373630" cy="3533775"/>
                    </a:xfrm>
                    <a:prstGeom prst="rect">
                      <a:avLst/>
                    </a:prstGeom>
                  </pic:spPr>
                </pic:pic>
              </a:graphicData>
            </a:graphic>
          </wp:inline>
        </w:drawing>
      </w:r>
      <w:r>
        <w:rPr>
          <w:rFonts w:hint="eastAsia" w:asciiTheme="minorEastAsia" w:hAnsiTheme="minorEastAsia" w:eastAsiaTheme="minorEastAsia" w:cstheme="minorEastAsia"/>
          <w:szCs w:val="28"/>
          <w:lang w:val="en-US" w:eastAsia="zh-CN"/>
        </w:rPr>
        <w:t xml:space="preserve">  </w:t>
      </w:r>
      <w:r>
        <w:rPr>
          <w:rFonts w:hint="default" w:asciiTheme="minorEastAsia" w:hAnsiTheme="minorEastAsia" w:eastAsiaTheme="minorEastAsia" w:cstheme="minorEastAsia"/>
          <w:szCs w:val="28"/>
          <w:lang w:val="en-US"/>
        </w:rPr>
        <w:drawing>
          <wp:inline distT="0" distB="0" distL="114300" distR="114300">
            <wp:extent cx="1992630" cy="3543935"/>
            <wp:effectExtent l="0" t="0" r="1270" b="12065"/>
            <wp:docPr id="3" name="图片 3" descr="微信图片_2022060911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609113019"/>
                    <pic:cNvPicPr>
                      <a:picLocks noChangeAspect="1"/>
                    </pic:cNvPicPr>
                  </pic:nvPicPr>
                  <pic:blipFill>
                    <a:blip r:embed="rId13"/>
                    <a:stretch>
                      <a:fillRect/>
                    </a:stretch>
                  </pic:blipFill>
                  <pic:spPr>
                    <a:xfrm>
                      <a:off x="0" y="0"/>
                      <a:ext cx="1992630" cy="3543935"/>
                    </a:xfrm>
                    <a:prstGeom prst="rect">
                      <a:avLst/>
                    </a:prstGeom>
                  </pic:spPr>
                </pic:pic>
              </a:graphicData>
            </a:graphic>
          </wp:inline>
        </w:drawing>
      </w:r>
    </w:p>
    <w:p>
      <w:pPr>
        <w:ind w:firstLine="840" w:firstLineChars="300"/>
        <w:rPr>
          <w:rFonts w:hint="eastAsia" w:asciiTheme="minorEastAsia" w:hAnsiTheme="minorEastAsia" w:eastAsiaTheme="minorEastAsia" w:cstheme="minorEastAsia"/>
          <w:szCs w:val="28"/>
          <w:lang w:val="en-US" w:eastAsia="zh-CN"/>
        </w:rPr>
      </w:pPr>
      <w:r>
        <w:rPr>
          <w:rFonts w:hint="eastAsia" w:asciiTheme="minorEastAsia" w:hAnsiTheme="minorEastAsia" w:eastAsiaTheme="minorEastAsia" w:cstheme="minorEastAsia"/>
          <w:szCs w:val="28"/>
          <w:lang w:val="en-US" w:eastAsia="zh-CN"/>
        </w:rPr>
        <w:t>投教基地接下来将继续在四川局证监局的指导下，深入开展与大中小各级院校</w:t>
      </w:r>
      <w:bookmarkStart w:id="1" w:name="_GoBack"/>
      <w:bookmarkEnd w:id="1"/>
      <w:r>
        <w:rPr>
          <w:rFonts w:hint="eastAsia" w:asciiTheme="minorEastAsia" w:hAnsiTheme="minorEastAsia" w:eastAsiaTheme="minorEastAsia" w:cstheme="minorEastAsia"/>
          <w:szCs w:val="28"/>
          <w:lang w:val="en-US" w:eastAsia="zh-CN"/>
        </w:rPr>
        <w:t>的合作，进一步将投资者教育纳入国民教育体系工作之路走得更深更实，</w:t>
      </w:r>
      <w:bookmarkEnd w:id="0"/>
      <w:r>
        <w:rPr>
          <w:rFonts w:hint="eastAsia" w:asciiTheme="minorEastAsia" w:hAnsiTheme="minorEastAsia" w:eastAsiaTheme="minorEastAsia" w:cstheme="minorEastAsia"/>
          <w:szCs w:val="28"/>
          <w:lang w:val="en-US" w:eastAsia="zh-CN"/>
        </w:rPr>
        <w:t>加大证券基础知识普及力度，传播资本市场“三公”原则、契约精神、诚信文化，助力构建资本市场健康生态和高质量发展。</w:t>
      </w:r>
    </w:p>
    <w:p>
      <w:pPr>
        <w:ind w:right="868" w:rightChars="310" w:firstLine="4818" w:firstLineChars="1721"/>
        <w:jc w:val="right"/>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lang w:val="en-US" w:eastAsia="zh-CN"/>
        </w:rPr>
        <w:t xml:space="preserve"> </w:t>
      </w:r>
    </w:p>
    <w:p>
      <w:pPr>
        <w:ind w:right="868" w:rightChars="310" w:firstLine="560"/>
        <w:rPr>
          <w:rFonts w:hint="default" w:asciiTheme="minorEastAsia" w:hAnsiTheme="minorEastAsia" w:eastAsiaTheme="minorEastAsia" w:cstheme="minorEastAsia"/>
          <w:szCs w:val="28"/>
          <w:lang w:val="en-US" w:eastAsia="zh-CN"/>
        </w:rPr>
      </w:pPr>
      <w:r>
        <w:rPr>
          <w:rFonts w:hint="eastAsia" w:asciiTheme="minorEastAsia" w:hAnsiTheme="minorEastAsia" w:eastAsiaTheme="minorEastAsia" w:cstheme="minorEastAsia"/>
          <w:szCs w:val="28"/>
        </w:rPr>
        <w:t xml:space="preserve">                                    图</w:t>
      </w:r>
      <w:r>
        <w:rPr>
          <w:rFonts w:hint="eastAsia" w:asciiTheme="minorEastAsia" w:hAnsiTheme="minorEastAsia" w:eastAsiaTheme="minorEastAsia" w:cstheme="minorEastAsia"/>
          <w:szCs w:val="28"/>
          <w:lang w:val="en-US" w:eastAsia="zh-CN"/>
        </w:rPr>
        <w:t>/文</w:t>
      </w:r>
      <w:r>
        <w:rPr>
          <w:rFonts w:hint="eastAsia" w:asciiTheme="minorEastAsia" w:hAnsiTheme="minorEastAsia" w:eastAsiaTheme="minorEastAsia" w:cstheme="minorEastAsia"/>
          <w:szCs w:val="28"/>
        </w:rPr>
        <w:t>：刘玲钰</w:t>
      </w:r>
    </w:p>
    <w:p>
      <w:pPr>
        <w:ind w:right="868" w:rightChars="310" w:firstLine="5600" w:firstLineChars="2000"/>
        <w:rPr>
          <w:rFonts w:asciiTheme="minorEastAsia" w:hAnsiTheme="minorEastAsia" w:eastAsiaTheme="minorEastAsia" w:cstheme="minorEastAsia"/>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pingfang sc">
    <w:altName w:val="宋体"/>
    <w:panose1 w:val="00000000000000000000"/>
    <w:charset w:val="86"/>
    <w:family w:val="auto"/>
    <w:pitch w:val="default"/>
    <w:sig w:usb0="00000000" w:usb1="00000000" w:usb2="00000017"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jc w:val="center"/>
    </w:pPr>
    <w:r>
      <w:fldChar w:fldCharType="begin"/>
    </w:r>
    <w:r>
      <w:instrText xml:space="preserve">PAGE   \* MERGEFORMAT</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r>
      <w:rPr>
        <w:rFonts w:hint="eastAsia"/>
      </w:rPr>
      <w:t xml:space="preserve">                                       </w:t>
    </w:r>
    <w:r>
      <w:rPr>
        <w:rFonts w:hint="eastAsia"/>
      </w:rPr>
      <w:drawing>
        <wp:inline distT="0" distB="0" distL="114300" distR="114300">
          <wp:extent cx="2684145" cy="314960"/>
          <wp:effectExtent l="0" t="0" r="1905" b="889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2684145" cy="3149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jZTc1ZGVlMzBjNjNiODk0ODJhMThhNWIyYmQ1M2IifQ=="/>
  </w:docVars>
  <w:rsids>
    <w:rsidRoot w:val="00000000"/>
    <w:rsid w:val="0482288A"/>
    <w:rsid w:val="0A0855DF"/>
    <w:rsid w:val="10CD1F64"/>
    <w:rsid w:val="17F23C84"/>
    <w:rsid w:val="1F8165FA"/>
    <w:rsid w:val="2649784F"/>
    <w:rsid w:val="2AA502E9"/>
    <w:rsid w:val="3C013085"/>
    <w:rsid w:val="3E9F580B"/>
    <w:rsid w:val="437F770C"/>
    <w:rsid w:val="45096B39"/>
    <w:rsid w:val="45181E73"/>
    <w:rsid w:val="495A634F"/>
    <w:rsid w:val="517C0D4B"/>
    <w:rsid w:val="56722538"/>
    <w:rsid w:val="588673C8"/>
    <w:rsid w:val="5C8E2CEF"/>
    <w:rsid w:val="64610CE9"/>
    <w:rsid w:val="69975849"/>
    <w:rsid w:val="6DA4681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line="360" w:lineRule="auto"/>
      <w:ind w:firstLine="200" w:firstLineChars="200"/>
      <w:jc w:val="both"/>
    </w:pPr>
    <w:rPr>
      <w:rFonts w:ascii="Calibri" w:hAnsi="Calibri" w:eastAsia="仿宋" w:cs="Times New Roman"/>
      <w:kern w:val="2"/>
      <w:sz w:val="28"/>
      <w:szCs w:val="22"/>
      <w:lang w:val="en-US"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link w:val="15"/>
    <w:semiHidden/>
    <w:qFormat/>
    <w:uiPriority w:val="99"/>
    <w:pPr>
      <w:jc w:val="left"/>
    </w:pPr>
  </w:style>
  <w:style w:type="paragraph" w:styleId="4">
    <w:name w:val="Body Text Indent 2"/>
    <w:basedOn w:val="1"/>
    <w:link w:val="16"/>
    <w:qFormat/>
    <w:uiPriority w:val="99"/>
    <w:pPr>
      <w:spacing w:line="300" w:lineRule="auto"/>
      <w:ind w:firstLine="480"/>
    </w:pPr>
    <w:rPr>
      <w:rFonts w:ascii="宋体" w:hAnsi="宋体" w:eastAsia="宋体"/>
      <w:color w:val="000000"/>
      <w:sz w:val="24"/>
      <w:szCs w:val="20"/>
    </w:rPr>
  </w:style>
  <w:style w:type="paragraph" w:styleId="5">
    <w:name w:val="Balloon Text"/>
    <w:basedOn w:val="1"/>
    <w:link w:val="17"/>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0"/>
    <w:semiHidden/>
    <w:qFormat/>
    <w:uiPriority w:val="99"/>
    <w:rPr>
      <w:b/>
      <w:bCs/>
    </w:rPr>
  </w:style>
  <w:style w:type="character" w:styleId="12">
    <w:name w:val="Strong"/>
    <w:basedOn w:val="11"/>
    <w:qFormat/>
    <w:locked/>
    <w:uiPriority w:val="99"/>
    <w:rPr>
      <w:rFonts w:cs="Times New Roman"/>
      <w:b/>
      <w:bCs/>
    </w:rPr>
  </w:style>
  <w:style w:type="character" w:styleId="13">
    <w:name w:val="annotation reference"/>
    <w:basedOn w:val="11"/>
    <w:semiHidden/>
    <w:qFormat/>
    <w:uiPriority w:val="99"/>
    <w:rPr>
      <w:rFonts w:cs="Times New Roman"/>
      <w:sz w:val="21"/>
      <w:szCs w:val="21"/>
    </w:rPr>
  </w:style>
  <w:style w:type="character" w:customStyle="1" w:styleId="14">
    <w:name w:val="标题 1 Char"/>
    <w:basedOn w:val="11"/>
    <w:link w:val="2"/>
    <w:qFormat/>
    <w:locked/>
    <w:uiPriority w:val="99"/>
    <w:rPr>
      <w:rFonts w:cs="Times New Roman"/>
      <w:b/>
      <w:bCs/>
      <w:kern w:val="44"/>
      <w:sz w:val="44"/>
      <w:szCs w:val="44"/>
    </w:rPr>
  </w:style>
  <w:style w:type="character" w:customStyle="1" w:styleId="15">
    <w:name w:val="批注文字 Char"/>
    <w:basedOn w:val="11"/>
    <w:link w:val="3"/>
    <w:semiHidden/>
    <w:qFormat/>
    <w:locked/>
    <w:uiPriority w:val="99"/>
    <w:rPr>
      <w:rFonts w:cs="Times New Roman"/>
    </w:rPr>
  </w:style>
  <w:style w:type="character" w:customStyle="1" w:styleId="16">
    <w:name w:val="正文文本缩进 2 Char"/>
    <w:basedOn w:val="11"/>
    <w:link w:val="4"/>
    <w:qFormat/>
    <w:locked/>
    <w:uiPriority w:val="99"/>
    <w:rPr>
      <w:rFonts w:ascii="宋体" w:hAnsi="宋体" w:eastAsia="宋体" w:cs="Times New Roman"/>
      <w:color w:val="000000"/>
      <w:sz w:val="20"/>
      <w:szCs w:val="20"/>
    </w:rPr>
  </w:style>
  <w:style w:type="character" w:customStyle="1" w:styleId="17">
    <w:name w:val="批注框文本 Char"/>
    <w:basedOn w:val="11"/>
    <w:link w:val="5"/>
    <w:semiHidden/>
    <w:qFormat/>
    <w:locked/>
    <w:uiPriority w:val="99"/>
    <w:rPr>
      <w:rFonts w:cs="Times New Roman"/>
      <w:sz w:val="18"/>
      <w:szCs w:val="18"/>
    </w:rPr>
  </w:style>
  <w:style w:type="character" w:customStyle="1" w:styleId="18">
    <w:name w:val="页脚 Char"/>
    <w:basedOn w:val="11"/>
    <w:link w:val="6"/>
    <w:qFormat/>
    <w:locked/>
    <w:uiPriority w:val="99"/>
    <w:rPr>
      <w:rFonts w:cs="Times New Roman"/>
      <w:sz w:val="18"/>
      <w:szCs w:val="18"/>
    </w:rPr>
  </w:style>
  <w:style w:type="character" w:customStyle="1" w:styleId="19">
    <w:name w:val="页眉 Char"/>
    <w:basedOn w:val="11"/>
    <w:link w:val="7"/>
    <w:qFormat/>
    <w:locked/>
    <w:uiPriority w:val="99"/>
    <w:rPr>
      <w:rFonts w:cs="Times New Roman"/>
      <w:sz w:val="18"/>
      <w:szCs w:val="18"/>
    </w:rPr>
  </w:style>
  <w:style w:type="character" w:customStyle="1" w:styleId="20">
    <w:name w:val="批注主题 Char"/>
    <w:basedOn w:val="15"/>
    <w:link w:val="9"/>
    <w:semiHidden/>
    <w:qFormat/>
    <w:locked/>
    <w:uiPriority w:val="99"/>
    <w:rPr>
      <w:rFonts w:cs="Times New Roman"/>
      <w:b/>
      <w:bCs/>
    </w:rPr>
  </w:style>
  <w:style w:type="paragraph" w:customStyle="1" w:styleId="21">
    <w:name w:val="列出段落1"/>
    <w:basedOn w:val="1"/>
    <w:qFormat/>
    <w:uiPriority w:val="99"/>
    <w:pPr>
      <w:ind w:firstLine="420"/>
    </w:pPr>
  </w:style>
  <w:style w:type="paragraph" w:customStyle="1" w:styleId="22">
    <w:name w:val="TOC 标题1"/>
    <w:basedOn w:val="2"/>
    <w:next w:val="1"/>
    <w:qFormat/>
    <w:uiPriority w:val="99"/>
    <w:pPr>
      <w:widowControl/>
      <w:spacing w:before="480" w:after="0" w:line="276" w:lineRule="auto"/>
      <w:jc w:val="left"/>
      <w:outlineLvl w:val="9"/>
    </w:pPr>
    <w:rPr>
      <w:rFonts w:ascii="Cambria" w:hAnsi="Cambria" w:eastAsia="宋体"/>
      <w:color w:val="365F91"/>
      <w:kern w:val="0"/>
      <w:sz w:val="28"/>
      <w:szCs w:val="28"/>
    </w:rPr>
  </w:style>
  <w:style w:type="table" w:customStyle="1" w:styleId="23">
    <w:name w:val="网格表 4 - 着色 11"/>
    <w:qFormat/>
    <w:uiPriority w:val="99"/>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
  </w:style>
  <w:style w:type="character" w:customStyle="1" w:styleId="24">
    <w:name w:val="bjh-p"/>
    <w:basedOn w:val="11"/>
    <w:qFormat/>
    <w:uiPriority w:val="99"/>
    <w:rPr>
      <w:rFonts w:cs="Times New Roman"/>
    </w:rPr>
  </w:style>
  <w:style w:type="paragraph" w:customStyle="1" w:styleId="25">
    <w:name w:val="p2"/>
    <w:basedOn w:val="1"/>
    <w:qFormat/>
    <w:uiPriority w:val="0"/>
    <w:pPr>
      <w:shd w:val="clear" w:color="auto" w:fill="FFFFFF"/>
      <w:spacing w:before="0" w:after="0"/>
    </w:pPr>
    <w:rPr>
      <w:rFonts w:ascii="pingfang sc" w:hAnsi="pingfang sc" w:eastAsia="pingfang sc"/>
      <w:color w:val="262626"/>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www.dadighost.com</Company>
  <Pages>3</Pages>
  <Words>851</Words>
  <Characters>870</Characters>
  <Lines>8</Lines>
  <Paragraphs>2</Paragraphs>
  <TotalTime>10</TotalTime>
  <ScaleCrop>false</ScaleCrop>
  <LinksUpToDate>false</LinksUpToDate>
  <CharactersWithSpaces>908</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2022-06-02T22:04:00Z</dcterms:created>
  <dc:creator>刘悟宇</dc:creator>
  <cp:lastModifiedBy>hmztj</cp:lastModifiedBy>
  <cp:lastPrinted>2019-09-21T13:43:00Z</cp:lastPrinted>
  <dcterms:modified xsi:type="dcterms:W3CDTF">2022-06-09T03:34:32Z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_DocHome">
    <vt:i4>-1395985271</vt:i4>
  </property>
  <property fmtid="{D5CDD505-2E9C-101B-9397-08002B2CF9AE}" pid="4" name="ICV">
    <vt:lpwstr>DBE84365B7FE43419495C0677BF35C03</vt:lpwstr>
  </property>
</Properties>
</file>