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00" w:lineRule="atLeast"/>
        <w:ind w:firstLine="0" w:firstLineChars="0"/>
        <w:jc w:val="center"/>
        <w:rPr>
          <w:rFonts w:hint="eastAsia" w:ascii="微软雅黑" w:hAnsi="微软雅黑" w:eastAsia="微软雅黑"/>
          <w:b/>
          <w:color w:val="003366"/>
          <w:sz w:val="44"/>
          <w:szCs w:val="44"/>
        </w:rPr>
      </w:pPr>
      <w:bookmarkStart w:id="0" w:name="_Hlk14171058"/>
      <w:r>
        <w:rPr>
          <w:rFonts w:hint="eastAsia" w:ascii="微软雅黑" w:hAnsi="微软雅黑" w:eastAsia="微软雅黑"/>
          <w:b/>
          <w:color w:val="003366"/>
          <w:sz w:val="44"/>
          <w:szCs w:val="44"/>
        </w:rPr>
        <w:t>守住钱袋子 护好幸福家</w:t>
      </w:r>
    </w:p>
    <w:p>
      <w:pPr>
        <w:spacing w:line="100" w:lineRule="atLeast"/>
        <w:ind w:firstLine="0" w:firstLineChars="0"/>
        <w:jc w:val="center"/>
        <w:rPr>
          <w:rFonts w:hint="eastAsia" w:ascii="微软雅黑" w:hAnsi="微软雅黑" w:eastAsia="微软雅黑"/>
          <w:b/>
          <w:color w:val="003366"/>
          <w:sz w:val="44"/>
          <w:szCs w:val="44"/>
        </w:rPr>
      </w:pPr>
      <w:r>
        <w:rPr>
          <w:rFonts w:hint="eastAsia" w:ascii="微软雅黑" w:hAnsi="微软雅黑" w:eastAsia="微软雅黑"/>
          <w:b/>
          <w:color w:val="003366"/>
          <w:sz w:val="44"/>
          <w:szCs w:val="44"/>
        </w:rPr>
        <w:t>红庙子街投教基地《股东来了》2022暨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leftChars="0" w:right="0" w:firstLine="0" w:firstLineChars="0"/>
        <w:jc w:val="center"/>
        <w:rPr>
          <w:rFonts w:hint="eastAsia" w:ascii="微软雅黑" w:hAnsi="微软雅黑" w:eastAsia="微软雅黑"/>
          <w:b/>
          <w:color w:val="003366"/>
          <w:sz w:val="44"/>
          <w:szCs w:val="44"/>
        </w:rPr>
      </w:pPr>
      <w:r>
        <w:rPr>
          <w:rFonts w:hint="eastAsia" w:ascii="微软雅黑" w:hAnsi="微软雅黑" w:eastAsia="微软雅黑" w:cs="Times New Roman"/>
          <w:b/>
          <w:bCs w:val="0"/>
          <w:color w:val="003366"/>
          <w:kern w:val="2"/>
          <w:sz w:val="44"/>
          <w:szCs w:val="44"/>
          <w:lang w:val="en-US" w:eastAsia="zh-CN" w:bidi="ar-SA"/>
        </w:rPr>
        <w:t>防范非法集资宣传月</w:t>
      </w:r>
      <w:r>
        <w:rPr>
          <w:rFonts w:hint="eastAsia" w:ascii="微软雅黑" w:hAnsi="微软雅黑" w:eastAsia="微软雅黑"/>
          <w:b/>
          <w:color w:val="003366"/>
          <w:sz w:val="44"/>
          <w:szCs w:val="44"/>
        </w:rPr>
        <w:t>投教活动——走进青羊区康河街道工作简报</w:t>
      </w:r>
    </w:p>
    <w:p>
      <w:pPr>
        <w:ind w:firstLine="7361" w:firstLineChars="2629"/>
        <w:jc w:val="center"/>
        <w:rPr>
          <w:rFonts w:ascii="微软雅黑" w:hAnsi="微软雅黑" w:eastAsia="微软雅黑"/>
          <w:b/>
          <w:color w:val="003366"/>
          <w:sz w:val="22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287655</wp:posOffset>
                </wp:positionV>
                <wp:extent cx="2661920" cy="419735"/>
                <wp:effectExtent l="4445" t="5080" r="19685" b="1333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1920" cy="41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216" w:firstLineChars="98"/>
                              <w:rPr>
                                <w:rFonts w:ascii="黑体" w:hAnsi="黑体" w:eastAsia="黑体"/>
                                <w:b/>
                                <w:color w:val="003366"/>
                                <w:sz w:val="22"/>
                              </w:rPr>
                            </w:pPr>
                            <w:r>
                              <w:rPr>
                                <w:rFonts w:ascii="黑体" w:hAnsi="黑体" w:eastAsia="黑体"/>
                                <w:b/>
                                <w:color w:val="00336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color w:val="003366"/>
                                <w:sz w:val="22"/>
                              </w:rPr>
                              <w:t>宏信证券红庙子街投教基地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4.85pt;margin-top:22.65pt;height:33.05pt;width:209.6pt;z-index:251659264;mso-width-relative:page;mso-height-relative:page;" fillcolor="#FFFFFF" filled="t" stroked="t" coordsize="21600,21600" o:gfxdata="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U2Au+2AAAAAkBAAAPAAAAAAAAAAEAIAAA&#10;ACIAAABkcnMvZG93bnJldi54bWxQSwECFAAUAAAACACHTuJAFUuGAEUCAACVBAAADgAAAAAAAAAB&#10;ACAAAAAnAQAAZHJzL2Uyb0RvYy54bWxQSwUGAAAAAAYABgBZAQAA3gUAAAAA&#10;">
                <v:fill on="t" focussize="0,0"/>
                <v:stroke color="#FFFFF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216" w:firstLineChars="98"/>
                        <w:rPr>
                          <w:rFonts w:ascii="黑体" w:hAnsi="黑体" w:eastAsia="黑体"/>
                          <w:b/>
                          <w:color w:val="003366"/>
                          <w:sz w:val="22"/>
                        </w:rPr>
                      </w:pPr>
                      <w:r>
                        <w:rPr>
                          <w:rFonts w:ascii="黑体" w:hAnsi="黑体" w:eastAsia="黑体"/>
                          <w:b/>
                          <w:color w:val="003366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 w:ascii="黑体" w:hAnsi="黑体" w:eastAsia="黑体"/>
                          <w:b/>
                          <w:color w:val="003366"/>
                          <w:sz w:val="22"/>
                        </w:rPr>
                        <w:t>宏信证券红庙子街投教基地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firstLine="5082" w:firstLineChars="2309"/>
        <w:jc w:val="right"/>
        <w:rPr>
          <w:rFonts w:ascii="微软雅黑" w:hAnsi="微软雅黑" w:eastAsia="微软雅黑"/>
          <w:b/>
          <w:color w:val="003366"/>
          <w:sz w:val="22"/>
        </w:rPr>
      </w:pPr>
      <w:r>
        <w:rPr>
          <w:rFonts w:ascii="微软雅黑" w:hAnsi="微软雅黑" w:eastAsia="微软雅黑"/>
          <w:b/>
          <w:color w:val="003366"/>
          <w:sz w:val="22"/>
        </w:rPr>
        <w:t>20</w:t>
      </w:r>
      <w:r>
        <w:rPr>
          <w:rFonts w:hint="eastAsia" w:ascii="微软雅黑" w:hAnsi="微软雅黑" w:eastAsia="微软雅黑"/>
          <w:b/>
          <w:color w:val="003366"/>
          <w:sz w:val="22"/>
        </w:rPr>
        <w:t>22年6月</w:t>
      </w:r>
      <w:r>
        <w:rPr>
          <w:rFonts w:hint="eastAsia" w:ascii="微软雅黑" w:hAnsi="微软雅黑" w:eastAsia="微软雅黑"/>
          <w:b/>
          <w:color w:val="003366"/>
          <w:sz w:val="22"/>
          <w:lang w:val="en-US" w:eastAsia="zh-CN"/>
        </w:rPr>
        <w:t>15</w:t>
      </w:r>
      <w:r>
        <w:rPr>
          <w:rFonts w:hint="eastAsia" w:ascii="微软雅黑" w:hAnsi="微软雅黑" w:eastAsia="微软雅黑"/>
          <w:b/>
          <w:color w:val="003366"/>
          <w:sz w:val="22"/>
        </w:rPr>
        <w:t>日</w:t>
      </w:r>
    </w:p>
    <w:p>
      <w:pPr>
        <w:ind w:firstLine="840" w:firstLineChars="300"/>
        <w:rPr>
          <w:rFonts w:asciiTheme="minorEastAsia" w:hAnsiTheme="minorEastAsia" w:eastAsiaTheme="minorEastAsia" w:cstheme="minorEastAsia"/>
          <w:szCs w:val="28"/>
        </w:rPr>
      </w:pPr>
      <w:r>
        <w:rPr>
          <w:rFonts w:hint="eastAsia" w:asciiTheme="minorEastAsia" w:hAnsiTheme="minorEastAsia" w:eastAsiaTheme="minorEastAsia" w:cstheme="minorEastAsia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141605</wp:posOffset>
                </wp:positionV>
                <wp:extent cx="6667500" cy="635"/>
                <wp:effectExtent l="0" t="44450" r="0" b="50165"/>
                <wp:wrapNone/>
                <wp:docPr id="45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635"/>
                          <a:chOff x="2339" y="5770"/>
                          <a:chExt cx="8302" cy="1"/>
                        </a:xfrm>
                        <a:effectLst/>
                      </wpg:grpSpPr>
                      <wps:wsp>
                        <wps:cNvPr id="46" name="Line 6"/>
                        <wps:cNvCnPr/>
                        <wps:spPr bwMode="auto">
                          <a:xfrm flipV="1">
                            <a:off x="2339" y="5770"/>
                            <a:ext cx="5479" cy="1"/>
                          </a:xfrm>
                          <a:prstGeom prst="line">
                            <a:avLst/>
                          </a:prstGeom>
                          <a:noFill/>
                          <a:ln w="88900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7" name="Line 7"/>
                        <wps:cNvCnPr/>
                        <wps:spPr bwMode="auto">
                          <a:xfrm>
                            <a:off x="7818" y="5770"/>
                            <a:ext cx="2823" cy="0"/>
                          </a:xfrm>
                          <a:prstGeom prst="line">
                            <a:avLst/>
                          </a:prstGeom>
                          <a:noFill/>
                          <a:ln w="88900">
                            <a:solidFill>
                              <a:srgbClr val="3366FF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" o:spid="_x0000_s1026" o:spt="203" style="position:absolute;left:0pt;margin-left:2.3pt;margin-top:11.15pt;height:0.05pt;width:525pt;z-index:251660288;mso-width-relative:page;mso-height-relative:page;" coordorigin="2339,5770" coordsize="8302,1" o:gfxdata="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HpfVH1gAAAAgBAAAPAAAAAAAAAAEAIAAAACIAAABkcnMvZG93bnJldi54bWxQSwEC&#10;FAAUAAAACACHTuJAtOg2zGgCAABlBgAADgAAAAAAAAABACAAAAAlAQAAZHJzL2Uyb0RvYy54bWxQ&#10;SwUGAAAAAAYABgBZAQAA/wUAAAAA&#10;">
                <o:lock v:ext="edit" aspectratio="f"/>
                <v:line id="Line 6" o:spid="_x0000_s1026" o:spt="20" style="position:absolute;left:2339;top:5770;flip:y;height:1;width:5479;" filled="f" stroked="t" coordsize="21600,21600" o:gfxdata="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rxejK8AAAA&#10;2wAAAA8AAAAAAAAAAQAgAAAAIgAAAGRycy9kb3ducmV2LnhtbFBLAQIUABQAAAAIAIdO4kAzLwWe&#10;OwAAADkAAAAQAAAAAAAAAAEAIAAAAAsBAABkcnMvc2hhcGV4bWwueG1sUEsFBgAAAAAGAAYAWwEA&#10;ALUDAAAAAA==&#10;">
                  <v:fill on="f" focussize="0,0"/>
                  <v:stroke weight="7pt" color="#000000" joinstyle="round"/>
                  <v:imagedata o:title=""/>
                  <o:lock v:ext="edit" aspectratio="f"/>
                </v:line>
                <v:line id="Line 7" o:spid="_x0000_s1026" o:spt="20" style="position:absolute;left:7818;top:5770;height:0;width:2823;" filled="f" stroked="t" coordsize="21600,21600" o:gfxdata="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OhCvK5AAAA2wAA&#10;AA8AAAAAAAAAAQAgAAAAIgAAAGRycy9kb3ducmV2LnhtbFBLAQIUABQAAAAIAIdO4kAzLwWeOwAA&#10;ADkAAAAQAAAAAAAAAAEAIAAAAAgBAABkcnMvc2hhcGV4bWwueG1sUEsFBgAAAAAGAAYAWwEAALID&#10;AAAAAA==&#10;">
                  <v:fill on="f" focussize="0,0"/>
                  <v:stroke weight="7pt" color="#3366FF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ind w:firstLine="840" w:firstLineChars="300"/>
        <w:rPr>
          <w:rFonts w:hint="eastAsia" w:asciiTheme="minorEastAsia" w:hAnsiTheme="minorEastAsia" w:eastAsiaTheme="minorEastAsia" w:cstheme="minorEastAsia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8"/>
        </w:rPr>
        <w:t>为提高人民群众防范非法集资意识和能力，切实保障财产安全，维护金融和社会稳定</w:t>
      </w:r>
      <w:r>
        <w:rPr>
          <w:rFonts w:hint="eastAsia" w:asciiTheme="minorEastAsia" w:hAnsiTheme="minorEastAsia" w:eastAsiaTheme="minorEastAsia" w:cstheme="minorEastAsia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Cs w:val="28"/>
        </w:rPr>
        <w:t>持续深入加强防范非法集资宣传教育的有效性，2022年6月，处置非法集资部际联席会议办公室组织开展第10个防范非法集资宣传月活动。防范和处置非法集资是一项切实关乎人民群众利益，金融市场稳定性的长期且复杂的系统性工程，因此普及金融知识，着力增强人民群众对非法集资的防范意识和能力，具有重要意义。</w:t>
      </w:r>
    </w:p>
    <w:p>
      <w:pPr>
        <w:ind w:firstLine="840" w:firstLineChars="300"/>
        <w:rPr>
          <w:rFonts w:hint="eastAsia" w:asciiTheme="minorEastAsia" w:hAnsiTheme="minorEastAsia" w:eastAsiaTheme="minorEastAsia" w:cstheme="minorEastAsia"/>
          <w:szCs w:val="28"/>
        </w:rPr>
      </w:pPr>
      <w:r>
        <w:rPr>
          <w:rFonts w:hint="eastAsia" w:asciiTheme="minorEastAsia" w:hAnsiTheme="minorEastAsia" w:eastAsiaTheme="minorEastAsia" w:cstheme="minorEastAsia"/>
          <w:szCs w:val="28"/>
        </w:rPr>
        <w:t>6月15日</w:t>
      </w:r>
      <w:r>
        <w:rPr>
          <w:rFonts w:hint="eastAsia" w:asciiTheme="minorEastAsia" w:hAnsiTheme="minorEastAsia" w:eastAsiaTheme="minorEastAsia" w:cstheme="minorEastAsia"/>
          <w:szCs w:val="28"/>
          <w:lang w:val="en-US" w:eastAsia="zh-CN"/>
        </w:rPr>
        <w:t>上午</w:t>
      </w:r>
      <w:r>
        <w:rPr>
          <w:rFonts w:hint="eastAsia" w:asciiTheme="minorEastAsia" w:hAnsiTheme="minorEastAsia" w:eastAsiaTheme="minorEastAsia" w:cstheme="minorEastAsia"/>
          <w:szCs w:val="28"/>
        </w:rPr>
        <w:t>，宏信证券红庙子街投教基地（以下简称“投教基地”）在四川证监局及成都市青羊区防范金融风险领导小组办公室领导下，</w:t>
      </w:r>
      <w:r>
        <w:rPr>
          <w:rFonts w:hint="eastAsia" w:asciiTheme="minorEastAsia" w:hAnsiTheme="minorEastAsia" w:eastAsiaTheme="minorEastAsia" w:cstheme="minorEastAsia"/>
          <w:szCs w:val="28"/>
          <w:lang w:val="en-US" w:eastAsia="zh-CN"/>
        </w:rPr>
        <w:t>在</w:t>
      </w:r>
      <w:r>
        <w:rPr>
          <w:rFonts w:hint="eastAsia" w:asciiTheme="minorEastAsia" w:hAnsiTheme="minorEastAsia" w:eastAsiaTheme="minorEastAsia" w:cstheme="minorEastAsia"/>
          <w:szCs w:val="28"/>
        </w:rPr>
        <w:t>青羊区康河街道党工委、康河街道办事处</w:t>
      </w:r>
      <w:r>
        <w:rPr>
          <w:rFonts w:hint="eastAsia" w:asciiTheme="minorEastAsia" w:hAnsiTheme="minorEastAsia" w:eastAsiaTheme="minorEastAsia" w:cstheme="minorEastAsia"/>
          <w:szCs w:val="28"/>
          <w:lang w:val="en-US" w:eastAsia="zh-CN"/>
        </w:rPr>
        <w:t>的支持下，</w:t>
      </w:r>
      <w:r>
        <w:rPr>
          <w:rFonts w:hint="eastAsia" w:asciiTheme="minorEastAsia" w:hAnsiTheme="minorEastAsia" w:eastAsiaTheme="minorEastAsia" w:cstheme="minorEastAsia"/>
          <w:szCs w:val="28"/>
        </w:rPr>
        <w:t>联合宏信证券成都二环路东二段证券营业部</w:t>
      </w:r>
      <w:r>
        <w:rPr>
          <w:rFonts w:hint="eastAsia" w:asciiTheme="minorEastAsia" w:hAnsiTheme="minorEastAsia" w:eastAsiaTheme="minorEastAsia" w:cstheme="minorEastAsia"/>
          <w:szCs w:val="28"/>
          <w:lang w:val="en-US" w:eastAsia="zh-CN"/>
        </w:rPr>
        <w:t>及</w:t>
      </w:r>
      <w:r>
        <w:rPr>
          <w:rFonts w:hint="eastAsia" w:asciiTheme="minorEastAsia" w:hAnsiTheme="minorEastAsia" w:eastAsiaTheme="minorEastAsia" w:cstheme="minorEastAsia"/>
          <w:szCs w:val="28"/>
        </w:rPr>
        <w:t>宏信证券成都</w:t>
      </w:r>
      <w:r>
        <w:rPr>
          <w:rFonts w:hint="eastAsia" w:asciiTheme="minorEastAsia" w:hAnsiTheme="minorEastAsia" w:eastAsiaTheme="minorEastAsia" w:cstheme="minorEastAsia"/>
          <w:szCs w:val="28"/>
          <w:lang w:val="en-US" w:eastAsia="zh-CN"/>
        </w:rPr>
        <w:t>红庙子街证券营业部</w:t>
      </w:r>
      <w:r>
        <w:rPr>
          <w:rFonts w:hint="eastAsia" w:asciiTheme="minorEastAsia" w:hAnsiTheme="minorEastAsia" w:eastAsiaTheme="minorEastAsia" w:cstheme="minorEastAsia"/>
          <w:szCs w:val="28"/>
        </w:rPr>
        <w:t>组成本次投教工作小组，走进成都青羊区康河街道佳兆业广场，共同开展以《股东来了》2022暨防范非法集资</w:t>
      </w:r>
      <w:r>
        <w:rPr>
          <w:rFonts w:hint="eastAsia" w:asciiTheme="minorEastAsia" w:hAnsiTheme="minorEastAsia" w:eastAsiaTheme="minorEastAsia" w:cstheme="minorEastAsia"/>
          <w:szCs w:val="28"/>
          <w:lang w:val="en-US" w:eastAsia="zh-CN"/>
        </w:rPr>
        <w:t>宣传月</w:t>
      </w:r>
      <w:r>
        <w:rPr>
          <w:rFonts w:hint="eastAsia" w:asciiTheme="minorEastAsia" w:hAnsiTheme="minorEastAsia" w:eastAsiaTheme="minorEastAsia" w:cstheme="minorEastAsia"/>
          <w:szCs w:val="28"/>
        </w:rPr>
        <w:t>为主题的线下宣传活动</w:t>
      </w:r>
      <w:r>
        <w:rPr>
          <w:rFonts w:hint="eastAsia" w:asciiTheme="minorEastAsia" w:hAnsiTheme="minorEastAsia" w:eastAsiaTheme="minorEastAsia" w:cstheme="minorEastAsia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Cs w:val="28"/>
        </w:rPr>
        <w:t>这是投教基地首次与青羊区</w:t>
      </w:r>
      <w:r>
        <w:rPr>
          <w:rFonts w:hint="eastAsia" w:asciiTheme="minorEastAsia" w:hAnsiTheme="minorEastAsia" w:eastAsiaTheme="minorEastAsia" w:cstheme="minorEastAsia"/>
          <w:szCs w:val="28"/>
          <w:lang w:val="en-US" w:eastAsia="zh-CN"/>
        </w:rPr>
        <w:t>康河街道</w:t>
      </w:r>
      <w:r>
        <w:rPr>
          <w:rFonts w:hint="eastAsia" w:asciiTheme="minorEastAsia" w:hAnsiTheme="minorEastAsia" w:eastAsiaTheme="minorEastAsia" w:cstheme="minorEastAsia"/>
          <w:szCs w:val="28"/>
        </w:rPr>
        <w:t>合作。</w:t>
      </w:r>
    </w:p>
    <w:p>
      <w:pPr>
        <w:ind w:firstLine="840" w:firstLineChars="300"/>
        <w:rPr>
          <w:rFonts w:hint="eastAsia" w:asciiTheme="minorEastAsia" w:hAnsiTheme="minorEastAsia" w:eastAsiaTheme="minorEastAsia" w:cstheme="minorEastAsia"/>
          <w:szCs w:val="28"/>
        </w:rPr>
      </w:pPr>
      <w:r>
        <w:rPr>
          <w:rFonts w:hint="eastAsia" w:asciiTheme="minorEastAsia" w:hAnsiTheme="minorEastAsia" w:eastAsiaTheme="minorEastAsia" w:cstheme="minorEastAsia"/>
          <w:szCs w:val="28"/>
        </w:rPr>
        <w:t>投教工作小组一早就来到佳兆业广场布置活动现场，</w:t>
      </w:r>
      <w:r>
        <w:rPr>
          <w:rFonts w:hint="eastAsia" w:asciiTheme="minorEastAsia" w:hAnsiTheme="minorEastAsia" w:eastAsiaTheme="minorEastAsia" w:cstheme="minorEastAsia"/>
          <w:szCs w:val="28"/>
          <w:lang w:val="en-US" w:eastAsia="zh-CN"/>
        </w:rPr>
        <w:t xml:space="preserve">现场通过设置摆台、悬挂横幅、 </w:t>
      </w:r>
      <w:r>
        <w:rPr>
          <w:rFonts w:hint="eastAsia" w:asciiTheme="minorEastAsia" w:hAnsiTheme="minorEastAsia" w:eastAsiaTheme="minorEastAsia" w:cstheme="minorEastAsia"/>
          <w:szCs w:val="28"/>
        </w:rPr>
        <w:t>张贴海报，摆放投教产品等。以“</w:t>
      </w:r>
      <w:r>
        <w:rPr>
          <w:rFonts w:hint="eastAsia" w:asciiTheme="minorEastAsia" w:hAnsiTheme="minorEastAsia" w:eastAsiaTheme="minorEastAsia" w:cstheme="minorEastAsia"/>
          <w:szCs w:val="28"/>
          <w:lang w:val="en-US" w:eastAsia="zh-CN"/>
        </w:rPr>
        <w:t>守住钱袋子 护好幸福家</w:t>
      </w:r>
      <w:r>
        <w:rPr>
          <w:rFonts w:hint="eastAsia" w:asciiTheme="minorEastAsia" w:hAnsiTheme="minorEastAsia" w:eastAsiaTheme="minorEastAsia" w:cstheme="minorEastAsia"/>
          <w:szCs w:val="28"/>
        </w:rPr>
        <w:t>”为主题，向过往</w:t>
      </w:r>
      <w:r>
        <w:rPr>
          <w:rFonts w:hint="eastAsia" w:asciiTheme="minorEastAsia" w:hAnsiTheme="minorEastAsia" w:eastAsiaTheme="minorEastAsia" w:cstheme="minorEastAsia"/>
          <w:szCs w:val="28"/>
          <w:lang w:val="en-US" w:eastAsia="zh-CN"/>
        </w:rPr>
        <w:t>社区</w:t>
      </w:r>
      <w:r>
        <w:rPr>
          <w:rFonts w:hint="eastAsia" w:asciiTheme="minorEastAsia" w:hAnsiTheme="minorEastAsia" w:eastAsiaTheme="minorEastAsia" w:cstheme="minorEastAsia"/>
          <w:szCs w:val="28"/>
        </w:rPr>
        <w:t>群众及</w:t>
      </w:r>
      <w:r>
        <w:rPr>
          <w:rFonts w:hint="eastAsia" w:asciiTheme="minorEastAsia" w:hAnsiTheme="minorEastAsia" w:eastAsiaTheme="minorEastAsia" w:cstheme="minorEastAsia"/>
          <w:szCs w:val="28"/>
          <w:lang w:val="en-US" w:eastAsia="zh-CN"/>
        </w:rPr>
        <w:t>广场商家</w:t>
      </w:r>
      <w:r>
        <w:rPr>
          <w:rFonts w:hint="eastAsia" w:asciiTheme="minorEastAsia" w:hAnsiTheme="minorEastAsia" w:eastAsiaTheme="minorEastAsia" w:cstheme="minorEastAsia"/>
          <w:szCs w:val="28"/>
        </w:rPr>
        <w:t>发放投教产品</w:t>
      </w:r>
      <w:r>
        <w:rPr>
          <w:rFonts w:hint="eastAsia" w:asciiTheme="minorEastAsia" w:hAnsiTheme="minorEastAsia" w:eastAsiaTheme="minorEastAsia" w:cstheme="minorEastAsia"/>
          <w:szCs w:val="28"/>
          <w:lang w:val="en-US" w:eastAsia="zh-CN"/>
        </w:rPr>
        <w:t>，投教产品</w:t>
      </w:r>
      <w:r>
        <w:rPr>
          <w:rFonts w:hint="eastAsia" w:asciiTheme="minorEastAsia" w:hAnsiTheme="minorEastAsia" w:eastAsiaTheme="minorEastAsia" w:cstheme="minorEastAsia"/>
          <w:szCs w:val="28"/>
        </w:rPr>
        <w:t>涵盖了</w:t>
      </w:r>
      <w:r>
        <w:rPr>
          <w:rFonts w:hint="eastAsia" w:asciiTheme="minorEastAsia" w:hAnsiTheme="minorEastAsia" w:eastAsiaTheme="minorEastAsia" w:cstheme="minorEastAsia"/>
          <w:szCs w:val="28"/>
          <w:lang w:eastAsia="zh-CN"/>
        </w:rPr>
        <w:t>《防范和处置非法集资条例》、老年反诈折页、防非打非案例宣传单、“绿色低碳”宣传单、《禁毒法》相关资料、反洗钱等</w:t>
      </w:r>
      <w:r>
        <w:rPr>
          <w:rFonts w:hint="eastAsia" w:asciiTheme="minorEastAsia" w:hAnsiTheme="minorEastAsia" w:eastAsiaTheme="minorEastAsia" w:cstheme="minorEastAsia"/>
          <w:szCs w:val="28"/>
        </w:rPr>
        <w:t>近期热点内容。</w:t>
      </w:r>
      <w:r>
        <w:rPr>
          <w:rFonts w:hint="eastAsia" w:asciiTheme="minorEastAsia" w:hAnsiTheme="minorEastAsia" w:eastAsiaTheme="minorEastAsia" w:cstheme="minorEastAsia"/>
          <w:szCs w:val="28"/>
          <w:lang w:val="en-US" w:eastAsia="zh-CN"/>
        </w:rPr>
        <w:t>并且接受群众咨询，</w:t>
      </w:r>
      <w:r>
        <w:rPr>
          <w:rFonts w:hint="eastAsia" w:asciiTheme="minorEastAsia" w:hAnsiTheme="minorEastAsia" w:eastAsiaTheme="minorEastAsia" w:cstheme="minorEastAsia"/>
          <w:szCs w:val="28"/>
        </w:rPr>
        <w:t>向群众讲解如何树立理性的投资理念，远离高利诱惑，防范非法集资等金融陷阱，保护好个人及家庭财产，保护好自身合法权益免受侵害。</w:t>
      </w:r>
    </w:p>
    <w:p>
      <w:pPr>
        <w:ind w:left="0" w:leftChars="0" w:firstLine="0" w:firstLineChars="0"/>
        <w:rPr>
          <w:rFonts w:hint="default" w:asciiTheme="minorEastAsia" w:hAnsiTheme="minorEastAsia" w:eastAsiaTheme="minorEastAsia" w:cstheme="minorEastAsia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8"/>
          <w:lang w:eastAsia="zh-CN"/>
        </w:rPr>
        <w:drawing>
          <wp:inline distT="0" distB="0" distL="114300" distR="114300">
            <wp:extent cx="2343150" cy="1756410"/>
            <wp:effectExtent l="0" t="0" r="0" b="15240"/>
            <wp:docPr id="3" name="图片 3" descr="C:\Users\刘玲钰\Desktop\投教文件\投教活动\2022年投教活动\第39期\254e1f791be42a35cb5373943d0eaec.jpg254e1f791be42a35cb5373943d0ea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刘玲钰\Desktop\投教文件\投教活动\2022年投教活动\第39期\254e1f791be42a35cb5373943d0eaec.jpg254e1f791be42a35cb5373943d0eaec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Cs w:val="28"/>
          <w:lang w:val="en-US" w:eastAsia="zh-CN"/>
        </w:rPr>
        <w:t xml:space="preserve"> </w:t>
      </w:r>
      <w:r>
        <w:rPr>
          <w:rFonts w:hint="default" w:asciiTheme="minorEastAsia" w:hAnsiTheme="minorEastAsia" w:eastAsiaTheme="minorEastAsia" w:cstheme="minorEastAsia"/>
          <w:szCs w:val="28"/>
          <w:lang w:val="en-US" w:eastAsia="zh-CN"/>
        </w:rPr>
        <w:drawing>
          <wp:inline distT="0" distB="0" distL="114300" distR="114300">
            <wp:extent cx="2329180" cy="1746885"/>
            <wp:effectExtent l="0" t="0" r="13970" b="5715"/>
            <wp:docPr id="4" name="图片 4" descr="d515052df198dc9a2b084e96c172f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515052df198dc9a2b084e96c172f6d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29180" cy="174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 w:asciiTheme="minorEastAsia" w:hAnsiTheme="minorEastAsia" w:eastAsiaTheme="minorEastAsia" w:cstheme="minorEastAsia"/>
          <w:szCs w:val="28"/>
          <w:lang w:eastAsia="zh-CN"/>
        </w:rPr>
      </w:pPr>
      <w:r>
        <w:rPr>
          <w:rFonts w:hint="default" w:asciiTheme="minorEastAsia" w:hAnsiTheme="minorEastAsia" w:eastAsiaTheme="minorEastAsia" w:cstheme="minorEastAsia"/>
          <w:szCs w:val="28"/>
          <w:lang w:val="en-US" w:eastAsia="zh-CN"/>
        </w:rPr>
        <w:drawing>
          <wp:inline distT="0" distB="0" distL="114300" distR="114300">
            <wp:extent cx="2384425" cy="1535430"/>
            <wp:effectExtent l="0" t="0" r="15875" b="7620"/>
            <wp:docPr id="5" name="图片 5" descr="C:\Users\刘玲钰\Desktop\投教文件\投教活动\2022年投教活动\第39期\0238e4f411bfaaa300fcf9bdbe5ef8e.jpg0238e4f411bfaaa300fcf9bdbe5ef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刘玲钰\Desktop\投教文件\投教活动\2022年投教活动\第39期\0238e4f411bfaaa300fcf9bdbe5ef8e.jpg0238e4f411bfaaa300fcf9bdbe5ef8e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4425" cy="153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Cs w:val="28"/>
          <w:lang w:val="en-US" w:eastAsia="zh-CN"/>
        </w:rPr>
        <w:t xml:space="preserve"> </w:t>
      </w:r>
      <w:r>
        <w:rPr>
          <w:rFonts w:hint="default" w:asciiTheme="minorEastAsia" w:hAnsiTheme="minorEastAsia" w:eastAsiaTheme="minorEastAsia" w:cstheme="minorEastAsia"/>
          <w:szCs w:val="28"/>
          <w:lang w:val="en-US" w:eastAsia="zh-CN"/>
        </w:rPr>
        <w:drawing>
          <wp:inline distT="0" distB="0" distL="114300" distR="114300">
            <wp:extent cx="2261870" cy="1539875"/>
            <wp:effectExtent l="0" t="0" r="5080" b="3175"/>
            <wp:docPr id="8" name="图片 8" descr="f049fdd316969ab9f62c25973f3d1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049fdd316969ab9f62c25973f3d1db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6187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840" w:firstLineChars="300"/>
        <w:rPr>
          <w:rFonts w:hint="eastAsia" w:asciiTheme="minorEastAsia" w:hAnsiTheme="minorEastAsia" w:eastAsiaTheme="minorEastAsia" w:cstheme="minorEastAsia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8"/>
        </w:rPr>
        <w:t>在活动中</w:t>
      </w:r>
      <w:r>
        <w:rPr>
          <w:rFonts w:hint="eastAsia" w:asciiTheme="minorEastAsia" w:hAnsiTheme="minorEastAsia" w:eastAsiaTheme="minorEastAsia" w:cstheme="minorEastAsia"/>
          <w:szCs w:val="28"/>
          <w:lang w:val="en-US" w:eastAsia="zh-CN"/>
        </w:rPr>
        <w:t>我们还</w:t>
      </w:r>
      <w:bookmarkStart w:id="1" w:name="_GoBack"/>
      <w:bookmarkEnd w:id="1"/>
      <w:r>
        <w:rPr>
          <w:rFonts w:hint="eastAsia" w:asciiTheme="minorEastAsia" w:hAnsiTheme="minorEastAsia" w:eastAsiaTheme="minorEastAsia" w:cstheme="minorEastAsia"/>
          <w:szCs w:val="28"/>
          <w:lang w:val="en-US" w:eastAsia="zh-CN"/>
        </w:rPr>
        <w:t>通过</w:t>
      </w:r>
      <w:r>
        <w:rPr>
          <w:rFonts w:hint="eastAsia" w:asciiTheme="minorEastAsia" w:hAnsiTheme="minorEastAsia" w:eastAsiaTheme="minorEastAsia" w:cstheme="minorEastAsia"/>
          <w:szCs w:val="28"/>
        </w:rPr>
        <w:t>设置股东来了宣传点，向过往群众宣讲2022《股东来了》活动，指导群众纷纷扫码参加活动</w:t>
      </w:r>
      <w:r>
        <w:rPr>
          <w:rFonts w:hint="eastAsia" w:asciiTheme="minorEastAsia" w:hAnsiTheme="minorEastAsia" w:eastAsiaTheme="minorEastAsia" w:cstheme="minorEastAsia"/>
          <w:szCs w:val="28"/>
          <w:lang w:val="en-US" w:eastAsia="zh-CN"/>
        </w:rPr>
        <w:t>。同时2022年6月13-19日是全国节能宣传周，6月15日正好是第10个全国低碳日，今年的主题是:落实“双碳”行动 共建美丽家园。为进一步普及低碳节能知识，增强全民节能意识，我们为大家介绍了根据中国证监会统一部署，定于5月15日启动为期2个月的“防非护财产捐步助乡村”健步走(简称“防非健步走”)活动。参加活动不仅可以学习到通俗的防非知识，而且在日常走路健身的同时，只要在微信小程序“一块走”上捐出走路步数，就能做公益，社区群众热情高涨，纷纷扫码参加。</w:t>
      </w:r>
    </w:p>
    <w:p>
      <w:pPr>
        <w:ind w:left="0" w:leftChars="0" w:firstLine="0" w:firstLineChars="0"/>
        <w:rPr>
          <w:rFonts w:hint="default" w:asciiTheme="minorEastAsia" w:hAnsiTheme="minorEastAsia" w:eastAsiaTheme="minorEastAsia" w:cstheme="minorEastAsia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8"/>
          <w:lang w:val="en-US" w:eastAsia="zh-CN"/>
        </w:rPr>
        <w:drawing>
          <wp:inline distT="0" distB="0" distL="114300" distR="114300">
            <wp:extent cx="2440940" cy="1627505"/>
            <wp:effectExtent l="0" t="0" r="16510" b="10795"/>
            <wp:docPr id="9" name="图片 9" descr="13726a2515b4ea3cc2749a5966b6a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3726a2515b4ea3cc2749a5966b6ae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40940" cy="162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Cs w:val="28"/>
          <w:lang w:val="en-US" w:eastAsia="zh-CN"/>
        </w:rPr>
        <w:t xml:space="preserve"> </w:t>
      </w:r>
      <w:r>
        <w:rPr>
          <w:rFonts w:hint="default" w:asciiTheme="minorEastAsia" w:hAnsiTheme="minorEastAsia" w:eastAsiaTheme="minorEastAsia" w:cstheme="minorEastAsia"/>
          <w:szCs w:val="28"/>
          <w:lang w:val="en-US" w:eastAsia="zh-CN"/>
        </w:rPr>
        <w:drawing>
          <wp:inline distT="0" distB="0" distL="114300" distR="114300">
            <wp:extent cx="2152650" cy="1614805"/>
            <wp:effectExtent l="0" t="0" r="0" b="4445"/>
            <wp:docPr id="10" name="图片 10" descr="67adf55457e41c95e1348ae34096b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7adf55457e41c95e1348ae34096b5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default" w:asciiTheme="minorEastAsia" w:hAnsiTheme="minorEastAsia" w:eastAsiaTheme="minorEastAsia" w:cstheme="minorEastAsia"/>
          <w:szCs w:val="28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szCs w:val="28"/>
          <w:lang w:val="en-US" w:eastAsia="zh-CN"/>
        </w:rPr>
        <w:drawing>
          <wp:inline distT="0" distB="0" distL="114300" distR="114300">
            <wp:extent cx="2389505" cy="1791970"/>
            <wp:effectExtent l="0" t="0" r="10795" b="17780"/>
            <wp:docPr id="11" name="图片 11" descr="f5746c21cb6a3cd0aa548f2fb57e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5746c21cb6a3cd0aa548f2fb57e97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89505" cy="179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Cs w:val="28"/>
          <w:lang w:val="en-US" w:eastAsia="zh-CN"/>
        </w:rPr>
        <w:t xml:space="preserve"> </w:t>
      </w:r>
      <w:r>
        <w:rPr>
          <w:rFonts w:hint="default" w:asciiTheme="minorEastAsia" w:hAnsiTheme="minorEastAsia" w:eastAsiaTheme="minorEastAsia" w:cstheme="minorEastAsia"/>
          <w:szCs w:val="28"/>
          <w:lang w:val="en-US" w:eastAsia="zh-CN"/>
        </w:rPr>
        <w:drawing>
          <wp:inline distT="0" distB="0" distL="114300" distR="114300">
            <wp:extent cx="2211070" cy="1786255"/>
            <wp:effectExtent l="0" t="0" r="17780" b="4445"/>
            <wp:docPr id="12" name="图片 12" descr="42e6a94fb6ff6e0f7a13a6fe015a8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42e6a94fb6ff6e0f7a13a6fe015a87d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11070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840" w:firstLineChars="300"/>
        <w:rPr>
          <w:rFonts w:hint="eastAsia" w:asciiTheme="minorEastAsia" w:hAnsiTheme="minorEastAsia" w:eastAsiaTheme="minorEastAsia" w:cstheme="minorEastAsia"/>
          <w:szCs w:val="28"/>
        </w:rPr>
      </w:pPr>
      <w:r>
        <w:rPr>
          <w:rFonts w:hint="eastAsia" w:asciiTheme="minorEastAsia" w:hAnsiTheme="minorEastAsia" w:eastAsiaTheme="minorEastAsia" w:cstheme="minorEastAsia"/>
          <w:szCs w:val="28"/>
        </w:rPr>
        <w:t>当日下午，工作小组继续走进康河街道下辖的马厂社区进行了2022《股东来了》宣传。本次615活动共覆盖群众近500人，发放各类投教物料2000余份。除了本次活动外，投教基地还将深化与</w:t>
      </w:r>
      <w:r>
        <w:rPr>
          <w:rFonts w:hint="eastAsia" w:asciiTheme="minorEastAsia" w:hAnsiTheme="minorEastAsia" w:eastAsiaTheme="minorEastAsia" w:cstheme="minorEastAsia"/>
          <w:szCs w:val="28"/>
          <w:lang w:val="en-US" w:eastAsia="zh-CN"/>
        </w:rPr>
        <w:t>康河街道</w:t>
      </w:r>
      <w:r>
        <w:rPr>
          <w:rFonts w:hint="eastAsia" w:asciiTheme="minorEastAsia" w:hAnsiTheme="minorEastAsia" w:eastAsiaTheme="minorEastAsia" w:cstheme="minorEastAsia"/>
          <w:szCs w:val="28"/>
        </w:rPr>
        <w:t>的合作，针对</w:t>
      </w:r>
      <w:r>
        <w:rPr>
          <w:rFonts w:hint="eastAsia" w:asciiTheme="minorEastAsia" w:hAnsiTheme="minorEastAsia" w:eastAsiaTheme="minorEastAsia" w:cstheme="minorEastAsia"/>
          <w:szCs w:val="28"/>
          <w:lang w:val="en-US" w:eastAsia="zh-CN"/>
        </w:rPr>
        <w:t>周边商圈</w:t>
      </w:r>
      <w:r>
        <w:rPr>
          <w:rFonts w:hint="eastAsia" w:asciiTheme="minorEastAsia" w:hAnsiTheme="minorEastAsia" w:eastAsiaTheme="minorEastAsia" w:cstheme="minorEastAsia"/>
          <w:szCs w:val="28"/>
        </w:rPr>
        <w:t>、老年群众、学生等不同群体开展有针对的投教活动。投教基地也将不断总结工作经验，在《股东来了》2022暨防范非法集资</w:t>
      </w:r>
      <w:r>
        <w:rPr>
          <w:rFonts w:hint="eastAsia" w:asciiTheme="minorEastAsia" w:hAnsiTheme="minorEastAsia" w:eastAsiaTheme="minorEastAsia" w:cstheme="minorEastAsia"/>
          <w:szCs w:val="28"/>
          <w:lang w:val="en-US" w:eastAsia="zh-CN"/>
        </w:rPr>
        <w:t>宣传月</w:t>
      </w:r>
      <w:r>
        <w:rPr>
          <w:rFonts w:hint="eastAsia" w:asciiTheme="minorEastAsia" w:hAnsiTheme="minorEastAsia" w:eastAsiaTheme="minorEastAsia" w:cstheme="minorEastAsia"/>
          <w:szCs w:val="28"/>
        </w:rPr>
        <w:t>期间继续开展丰富多彩的投教活动，进一步普及股东权益知识，培育积极股东文化，让投资者保护理念深入人心，切实维护广大投资者合法权益。</w:t>
      </w:r>
    </w:p>
    <w:p>
      <w:pPr>
        <w:ind w:left="0" w:leftChars="0" w:firstLine="0" w:firstLineChars="0"/>
        <w:rPr>
          <w:rFonts w:hint="eastAsia" w:asciiTheme="minorEastAsia" w:hAnsiTheme="minorEastAsia" w:eastAsiaTheme="minorEastAsia" w:cstheme="minorEastAsia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8"/>
          <w:lang w:eastAsia="zh-CN"/>
        </w:rPr>
        <w:drawing>
          <wp:inline distT="0" distB="0" distL="114300" distR="114300">
            <wp:extent cx="2856230" cy="1903730"/>
            <wp:effectExtent l="0" t="0" r="1270" b="1270"/>
            <wp:docPr id="13" name="图片 13" descr="6b1f90b0d6ea3fb264fd98fc158e5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6b1f90b0d6ea3fb264fd98fc158e50d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56230" cy="190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>
      <w:pPr>
        <w:ind w:firstLine="840" w:firstLineChars="300"/>
        <w:rPr>
          <w:rFonts w:asciiTheme="minorEastAsia" w:hAnsiTheme="minorEastAsia" w:eastAsiaTheme="minorEastAsia" w:cstheme="minorEastAsia"/>
          <w:szCs w:val="28"/>
        </w:rPr>
      </w:pPr>
    </w:p>
    <w:p>
      <w:pPr>
        <w:ind w:right="868" w:rightChars="310" w:firstLine="560"/>
        <w:jc w:val="right"/>
        <w:rPr>
          <w:rFonts w:asciiTheme="minorEastAsia" w:hAnsiTheme="minorEastAsia" w:eastAsiaTheme="minorEastAsia" w:cstheme="minorEastAsia"/>
          <w:szCs w:val="28"/>
        </w:rPr>
      </w:pPr>
      <w:r>
        <w:rPr>
          <w:rFonts w:hint="eastAsia" w:asciiTheme="minorEastAsia" w:hAnsiTheme="minorEastAsia" w:eastAsiaTheme="minorEastAsia" w:cstheme="minorEastAsia"/>
          <w:szCs w:val="28"/>
        </w:rPr>
        <w:t>红庙子街投资者教育基地</w:t>
      </w:r>
    </w:p>
    <w:p>
      <w:pPr>
        <w:ind w:right="868" w:rightChars="310" w:firstLine="4818" w:firstLineChars="1721"/>
        <w:jc w:val="right"/>
        <w:rPr>
          <w:rFonts w:asciiTheme="minorEastAsia" w:hAnsiTheme="minorEastAsia" w:eastAsiaTheme="minorEastAsia" w:cstheme="minorEastAsia"/>
          <w:szCs w:val="28"/>
        </w:rPr>
      </w:pPr>
      <w:r>
        <w:rPr>
          <w:rFonts w:hint="eastAsia" w:asciiTheme="minorEastAsia" w:hAnsiTheme="minorEastAsia" w:eastAsiaTheme="minorEastAsia" w:cstheme="minorEastAsia"/>
          <w:szCs w:val="28"/>
        </w:rPr>
        <w:t>2022年6月</w:t>
      </w:r>
      <w:r>
        <w:rPr>
          <w:rFonts w:hint="eastAsia" w:asciiTheme="minorEastAsia" w:hAnsiTheme="minorEastAsia" w:eastAsiaTheme="minorEastAsia" w:cstheme="minorEastAsia"/>
          <w:szCs w:val="28"/>
          <w:lang w:val="en-US" w:eastAsia="zh-CN"/>
        </w:rPr>
        <w:t>15</w:t>
      </w:r>
      <w:r>
        <w:rPr>
          <w:rFonts w:hint="eastAsia" w:asciiTheme="minorEastAsia" w:hAnsiTheme="minorEastAsia" w:eastAsiaTheme="minorEastAsia" w:cstheme="minorEastAsia"/>
          <w:szCs w:val="28"/>
        </w:rPr>
        <w:t>日</w:t>
      </w:r>
    </w:p>
    <w:p>
      <w:pPr>
        <w:ind w:right="868" w:rightChars="310" w:firstLine="560"/>
        <w:jc w:val="right"/>
        <w:rPr>
          <w:rFonts w:asciiTheme="minorEastAsia" w:hAnsiTheme="minorEastAsia" w:eastAsiaTheme="minorEastAsia" w:cstheme="minorEastAsia"/>
          <w:szCs w:val="28"/>
        </w:rPr>
      </w:pPr>
      <w:r>
        <w:rPr>
          <w:rFonts w:hint="eastAsia" w:asciiTheme="minorEastAsia" w:hAnsiTheme="minorEastAsia" w:eastAsiaTheme="minorEastAsia" w:cstheme="minorEastAsia"/>
          <w:szCs w:val="28"/>
        </w:rPr>
        <w:t xml:space="preserve">                                     图：程林 </w:t>
      </w:r>
    </w:p>
    <w:p>
      <w:pPr>
        <w:ind w:right="868" w:rightChars="310" w:firstLine="5880" w:firstLineChars="2100"/>
        <w:jc w:val="right"/>
        <w:rPr>
          <w:rFonts w:asciiTheme="minorEastAsia" w:hAnsiTheme="minorEastAsia" w:eastAsiaTheme="minorEastAsia" w:cstheme="minorEastAsia"/>
          <w:szCs w:val="28"/>
        </w:rPr>
      </w:pPr>
      <w:r>
        <w:rPr>
          <w:rFonts w:hint="eastAsia" w:asciiTheme="minorEastAsia" w:hAnsiTheme="minorEastAsia" w:eastAsiaTheme="minorEastAsia" w:cstheme="minorEastAsia"/>
          <w:szCs w:val="28"/>
        </w:rPr>
        <w:t>文：刘玲钰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ingfang sc">
    <w:altName w:val="宋体"/>
    <w:panose1 w:val="00000000000000000000"/>
    <w:charset w:val="86"/>
    <w:family w:val="auto"/>
    <w:pitch w:val="default"/>
    <w:sig w:usb0="00000000" w:usb1="00000000" w:usb2="00000017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560"/>
      </w:pPr>
      <w:r>
        <w:separator/>
      </w:r>
    </w:p>
  </w:footnote>
  <w:footnote w:type="continuationSeparator" w:id="1">
    <w:p>
      <w:pPr>
        <w:spacing w:before="0" w:after="0" w:line="36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  <w:r>
      <w:rPr>
        <w:rFonts w:hint="eastAsia"/>
      </w:rPr>
      <w:t xml:space="preserve">                                       </w:t>
    </w:r>
    <w:r>
      <w:rPr>
        <w:rFonts w:hint="eastAsia"/>
      </w:rPr>
      <w:drawing>
        <wp:inline distT="0" distB="0" distL="114300" distR="114300">
          <wp:extent cx="2684145" cy="314960"/>
          <wp:effectExtent l="0" t="0" r="1905" b="8890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84145" cy="314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B4EE4"/>
    <w:rsid w:val="0C0D29D1"/>
    <w:rsid w:val="14AB4D42"/>
    <w:rsid w:val="16E234E3"/>
    <w:rsid w:val="21875056"/>
    <w:rsid w:val="31F12A5E"/>
    <w:rsid w:val="3AE7207A"/>
    <w:rsid w:val="3B784382"/>
    <w:rsid w:val="3F737583"/>
    <w:rsid w:val="686344BD"/>
    <w:rsid w:val="69F6133D"/>
    <w:rsid w:val="6AB12C0A"/>
    <w:rsid w:val="73AD2E11"/>
    <w:rsid w:val="7ACC51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name="annotation reference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semiHidden="0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99" w:semiHidden="0" w:name="Body Text Indent 2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99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qFormat="1" w:unhideWhenUsed="0" w:uiPriority="99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20" w:after="120" w:line="360" w:lineRule="auto"/>
      <w:ind w:firstLine="200" w:firstLineChars="200"/>
      <w:jc w:val="both"/>
    </w:pPr>
    <w:rPr>
      <w:rFonts w:ascii="Calibri" w:hAnsi="Calibri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semiHidden/>
    <w:qFormat/>
    <w:uiPriority w:val="99"/>
    <w:pPr>
      <w:jc w:val="left"/>
    </w:pPr>
  </w:style>
  <w:style w:type="paragraph" w:styleId="4">
    <w:name w:val="Body Text Indent 2"/>
    <w:basedOn w:val="1"/>
    <w:link w:val="16"/>
    <w:qFormat/>
    <w:uiPriority w:val="99"/>
    <w:pPr>
      <w:spacing w:line="300" w:lineRule="auto"/>
      <w:ind w:firstLine="480"/>
    </w:pPr>
    <w:rPr>
      <w:rFonts w:ascii="宋体" w:hAnsi="宋体" w:eastAsia="宋体"/>
      <w:color w:val="000000"/>
      <w:sz w:val="24"/>
      <w:szCs w:val="20"/>
    </w:r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20"/>
    <w:semiHidden/>
    <w:qFormat/>
    <w:uiPriority w:val="99"/>
    <w:rPr>
      <w:b/>
      <w:bCs/>
    </w:rPr>
  </w:style>
  <w:style w:type="character" w:styleId="12">
    <w:name w:val="Strong"/>
    <w:basedOn w:val="11"/>
    <w:qFormat/>
    <w:locked/>
    <w:uiPriority w:val="99"/>
    <w:rPr>
      <w:rFonts w:cs="Times New Roman"/>
      <w:b/>
      <w:bCs/>
    </w:rPr>
  </w:style>
  <w:style w:type="character" w:styleId="13">
    <w:name w:val="annotation reference"/>
    <w:basedOn w:val="11"/>
    <w:semiHidden/>
    <w:qFormat/>
    <w:uiPriority w:val="99"/>
    <w:rPr>
      <w:rFonts w:cs="Times New Roman"/>
      <w:sz w:val="21"/>
      <w:szCs w:val="21"/>
    </w:rPr>
  </w:style>
  <w:style w:type="character" w:customStyle="1" w:styleId="14">
    <w:name w:val="标题 1 Char"/>
    <w:basedOn w:val="11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5">
    <w:name w:val="批注文字 Char"/>
    <w:basedOn w:val="11"/>
    <w:link w:val="3"/>
    <w:semiHidden/>
    <w:qFormat/>
    <w:locked/>
    <w:uiPriority w:val="99"/>
    <w:rPr>
      <w:rFonts w:cs="Times New Roman"/>
    </w:rPr>
  </w:style>
  <w:style w:type="character" w:customStyle="1" w:styleId="16">
    <w:name w:val="正文文本缩进 2 Char"/>
    <w:basedOn w:val="11"/>
    <w:link w:val="4"/>
    <w:qFormat/>
    <w:locked/>
    <w:uiPriority w:val="99"/>
    <w:rPr>
      <w:rFonts w:ascii="宋体" w:hAnsi="宋体" w:eastAsia="宋体" w:cs="Times New Roman"/>
      <w:color w:val="000000"/>
      <w:sz w:val="20"/>
      <w:szCs w:val="20"/>
    </w:rPr>
  </w:style>
  <w:style w:type="character" w:customStyle="1" w:styleId="17">
    <w:name w:val="批注框文本 Char"/>
    <w:basedOn w:val="11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rFonts w:cs="Times New Roman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99"/>
    <w:rPr>
      <w:rFonts w:cs="Times New Roman"/>
      <w:sz w:val="18"/>
      <w:szCs w:val="18"/>
    </w:rPr>
  </w:style>
  <w:style w:type="character" w:customStyle="1" w:styleId="20">
    <w:name w:val="批注主题 Char"/>
    <w:basedOn w:val="15"/>
    <w:link w:val="9"/>
    <w:semiHidden/>
    <w:qFormat/>
    <w:locked/>
    <w:uiPriority w:val="99"/>
    <w:rPr>
      <w:rFonts w:cs="Times New Roman"/>
      <w:b/>
      <w:bCs/>
    </w:rPr>
  </w:style>
  <w:style w:type="paragraph" w:customStyle="1" w:styleId="21">
    <w:name w:val="列出段落1"/>
    <w:basedOn w:val="1"/>
    <w:qFormat/>
    <w:uiPriority w:val="99"/>
    <w:pPr>
      <w:ind w:firstLine="420"/>
    </w:pPr>
  </w:style>
  <w:style w:type="paragraph" w:customStyle="1" w:styleId="22">
    <w:name w:val="TOC 标题1"/>
    <w:basedOn w:val="2"/>
    <w:next w:val="1"/>
    <w:qFormat/>
    <w:uiPriority w:val="99"/>
    <w:pPr>
      <w:widowControl/>
      <w:spacing w:before="480" w:after="0" w:line="276" w:lineRule="auto"/>
      <w:jc w:val="left"/>
      <w:outlineLvl w:val="9"/>
    </w:pPr>
    <w:rPr>
      <w:rFonts w:ascii="Cambria" w:hAnsi="Cambria" w:eastAsia="宋体"/>
      <w:color w:val="365F91"/>
      <w:kern w:val="0"/>
      <w:sz w:val="28"/>
      <w:szCs w:val="28"/>
    </w:rPr>
  </w:style>
  <w:style w:type="table" w:customStyle="1" w:styleId="23">
    <w:name w:val="网格表 4 - 着色 11"/>
    <w:qFormat/>
    <w:uiPriority w:val="99"/>
    <w:tblPr>
      <w:tblBorders>
        <w:top w:val="single" w:color="95B3D7" w:sz="4" w:space="0"/>
        <w:left w:val="single" w:color="95B3D7" w:sz="4" w:space="0"/>
        <w:bottom w:val="single" w:color="95B3D7" w:sz="4" w:space="0"/>
        <w:right w:val="single" w:color="95B3D7" w:sz="4" w:space="0"/>
        <w:insideH w:val="single" w:color="95B3D7" w:sz="4" w:space="0"/>
        <w:insideV w:val="single" w:color="95B3D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bjh-p"/>
    <w:basedOn w:val="11"/>
    <w:qFormat/>
    <w:uiPriority w:val="99"/>
    <w:rPr>
      <w:rFonts w:cs="Times New Roman"/>
    </w:rPr>
  </w:style>
  <w:style w:type="paragraph" w:customStyle="1" w:styleId="25">
    <w:name w:val="p2"/>
    <w:basedOn w:val="1"/>
    <w:qFormat/>
    <w:uiPriority w:val="0"/>
    <w:pPr>
      <w:shd w:val="clear" w:color="auto" w:fill="FFFFFF"/>
      <w:spacing w:before="0" w:after="0"/>
    </w:pPr>
    <w:rPr>
      <w:rFonts w:ascii="pingfang sc" w:hAnsi="pingfang sc" w:eastAsia="pingfang sc"/>
      <w:color w:val="262626"/>
      <w:kern w:val="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0.jpeg"/><Relationship Id="rId2" Type="http://schemas.openxmlformats.org/officeDocument/2006/relationships/settings" Target="settings.xml"/><Relationship Id="rId19" Type="http://schemas.openxmlformats.org/officeDocument/2006/relationships/image" Target="media/image9.jpeg"/><Relationship Id="rId18" Type="http://schemas.openxmlformats.org/officeDocument/2006/relationships/image" Target="media/image8.jpeg"/><Relationship Id="rId17" Type="http://schemas.openxmlformats.org/officeDocument/2006/relationships/image" Target="media/image7.jpeg"/><Relationship Id="rId16" Type="http://schemas.openxmlformats.org/officeDocument/2006/relationships/image" Target="media/image6.jpeg"/><Relationship Id="rId15" Type="http://schemas.openxmlformats.org/officeDocument/2006/relationships/image" Target="media/image5.jpeg"/><Relationship Id="rId14" Type="http://schemas.openxmlformats.org/officeDocument/2006/relationships/image" Target="media/image4.jpeg"/><Relationship Id="rId13" Type="http://schemas.openxmlformats.org/officeDocument/2006/relationships/image" Target="media/image3.jpeg"/><Relationship Id="rId12" Type="http://schemas.openxmlformats.org/officeDocument/2006/relationships/image" Target="media/image2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www.dadighost.com</Company>
  <Pages>3</Pages>
  <Words>175</Words>
  <Characters>999</Characters>
  <Lines>8</Lines>
  <Paragraphs>2</Paragraphs>
  <TotalTime>4</TotalTime>
  <ScaleCrop>false</ScaleCrop>
  <LinksUpToDate>false</LinksUpToDate>
  <CharactersWithSpaces>1172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2022-06-02T22:04:00Z</dcterms:created>
  <dc:creator>刘悟宇</dc:creator>
  <cp:lastModifiedBy>钰崽</cp:lastModifiedBy>
  <cp:lastPrinted>2019-09-21T13:43:00Z</cp:lastPrinted>
  <dcterms:modified xsi:type="dcterms:W3CDTF">2022-06-15T06:26:24Z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_DocHome">
    <vt:i4>-1395985271</vt:i4>
  </property>
  <property fmtid="{D5CDD505-2E9C-101B-9397-08002B2CF9AE}" pid="4" name="ICV">
    <vt:lpwstr>DBE84365B7FE43419495C0677BF35C03</vt:lpwstr>
  </property>
</Properties>
</file>