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D0AEF" w14:textId="77777777" w:rsidR="000C1F5A" w:rsidRDefault="000C1F5A" w:rsidP="000C1F5A">
      <w:pPr>
        <w:autoSpaceDE w:val="0"/>
        <w:autoSpaceDN w:val="0"/>
        <w:adjustRightInd w:val="0"/>
        <w:jc w:val="center"/>
        <w:rPr>
          <w:rFonts w:ascii="黑体" w:eastAsia="黑体" w:hAnsi="黑体" w:cs="华文楷体"/>
          <w:color w:val="000000"/>
          <w:kern w:val="0"/>
          <w:sz w:val="44"/>
          <w:szCs w:val="44"/>
        </w:rPr>
      </w:pPr>
      <w:bookmarkStart w:id="0" w:name="_GoBack"/>
      <w:bookmarkEnd w:id="0"/>
    </w:p>
    <w:p w14:paraId="48D94E03" w14:textId="77777777" w:rsidR="00FC3300" w:rsidRDefault="00FC3300" w:rsidP="000C1F5A">
      <w:pPr>
        <w:autoSpaceDE w:val="0"/>
        <w:autoSpaceDN w:val="0"/>
        <w:adjustRightInd w:val="0"/>
        <w:jc w:val="center"/>
        <w:rPr>
          <w:rFonts w:ascii="黑体" w:eastAsia="黑体" w:hAnsi="黑体" w:cs="华文楷体"/>
          <w:color w:val="000000"/>
          <w:kern w:val="0"/>
          <w:sz w:val="44"/>
          <w:szCs w:val="44"/>
        </w:rPr>
      </w:pPr>
    </w:p>
    <w:p w14:paraId="5392A51A" w14:textId="77777777" w:rsidR="00FC3300" w:rsidRDefault="00FC3300" w:rsidP="000C1F5A">
      <w:pPr>
        <w:autoSpaceDE w:val="0"/>
        <w:autoSpaceDN w:val="0"/>
        <w:adjustRightInd w:val="0"/>
        <w:jc w:val="center"/>
        <w:rPr>
          <w:rFonts w:ascii="黑体" w:eastAsia="黑体" w:hAnsi="黑体" w:cs="华文楷体"/>
          <w:color w:val="000000"/>
          <w:kern w:val="0"/>
          <w:sz w:val="44"/>
          <w:szCs w:val="44"/>
        </w:rPr>
      </w:pPr>
    </w:p>
    <w:p w14:paraId="3BD4B262" w14:textId="77777777" w:rsidR="00FC3300" w:rsidRDefault="00FC3300" w:rsidP="000C1F5A">
      <w:pPr>
        <w:autoSpaceDE w:val="0"/>
        <w:autoSpaceDN w:val="0"/>
        <w:adjustRightInd w:val="0"/>
        <w:jc w:val="center"/>
        <w:rPr>
          <w:rFonts w:ascii="黑体" w:eastAsia="黑体" w:hAnsi="黑体" w:cs="华文楷体"/>
          <w:color w:val="000000"/>
          <w:kern w:val="0"/>
          <w:sz w:val="44"/>
          <w:szCs w:val="44"/>
        </w:rPr>
      </w:pPr>
    </w:p>
    <w:p w14:paraId="69CC2E91" w14:textId="77777777" w:rsidR="00FC3300" w:rsidRPr="00FC3300" w:rsidRDefault="00FC3300" w:rsidP="000C1F5A">
      <w:pPr>
        <w:autoSpaceDE w:val="0"/>
        <w:autoSpaceDN w:val="0"/>
        <w:adjustRightInd w:val="0"/>
        <w:jc w:val="center"/>
        <w:rPr>
          <w:rFonts w:ascii="黑体" w:eastAsia="黑体" w:hAnsi="黑体" w:cs="华文楷体"/>
          <w:color w:val="000000"/>
          <w:kern w:val="0"/>
          <w:sz w:val="44"/>
          <w:szCs w:val="44"/>
        </w:rPr>
      </w:pPr>
    </w:p>
    <w:p w14:paraId="59237021" w14:textId="77777777" w:rsidR="00756DBE" w:rsidRDefault="003D5261" w:rsidP="000C1F5A">
      <w:pPr>
        <w:autoSpaceDE w:val="0"/>
        <w:autoSpaceDN w:val="0"/>
        <w:adjustRightInd w:val="0"/>
        <w:jc w:val="center"/>
        <w:rPr>
          <w:rFonts w:ascii="黑体" w:eastAsia="黑体" w:hAnsi="黑体" w:cs="华文楷体"/>
          <w:b/>
          <w:color w:val="000000"/>
          <w:kern w:val="0"/>
          <w:sz w:val="36"/>
          <w:szCs w:val="36"/>
        </w:rPr>
      </w:pPr>
      <w:r w:rsidRPr="008827B9">
        <w:rPr>
          <w:rFonts w:ascii="黑体" w:eastAsia="黑体" w:hAnsi="黑体" w:cs="华文楷体" w:hint="eastAsia"/>
          <w:b/>
          <w:color w:val="000000"/>
          <w:kern w:val="0"/>
          <w:sz w:val="36"/>
          <w:szCs w:val="36"/>
        </w:rPr>
        <w:t>泓信</w:t>
      </w:r>
      <w:r w:rsidR="000C1F5A" w:rsidRPr="008827B9">
        <w:rPr>
          <w:rFonts w:ascii="黑体" w:eastAsia="黑体" w:hAnsi="黑体" w:cs="华文楷体" w:hint="eastAsia"/>
          <w:b/>
          <w:color w:val="000000"/>
          <w:kern w:val="0"/>
          <w:sz w:val="36"/>
          <w:szCs w:val="36"/>
        </w:rPr>
        <w:t>资本投资管理有限公司</w:t>
      </w:r>
    </w:p>
    <w:p w14:paraId="3F917AB4" w14:textId="77777777" w:rsidR="00FC3300" w:rsidRPr="008827B9" w:rsidRDefault="003F60D4" w:rsidP="000C1F5A">
      <w:pPr>
        <w:autoSpaceDE w:val="0"/>
        <w:autoSpaceDN w:val="0"/>
        <w:adjustRightInd w:val="0"/>
        <w:jc w:val="center"/>
        <w:rPr>
          <w:rFonts w:ascii="黑体" w:eastAsia="黑体" w:hAnsi="黑体" w:cs="华文楷体"/>
          <w:b/>
          <w:color w:val="000000"/>
          <w:kern w:val="0"/>
          <w:sz w:val="36"/>
          <w:szCs w:val="36"/>
        </w:rPr>
      </w:pPr>
      <w:r>
        <w:rPr>
          <w:rFonts w:ascii="黑体" w:eastAsia="黑体" w:hAnsi="黑体" w:cs="华文楷体" w:hint="eastAsia"/>
          <w:b/>
          <w:color w:val="000000"/>
          <w:kern w:val="0"/>
          <w:sz w:val="36"/>
          <w:szCs w:val="36"/>
        </w:rPr>
        <w:t>内部控制制度</w:t>
      </w:r>
    </w:p>
    <w:p w14:paraId="4B1D27A1" w14:textId="77777777" w:rsidR="000C1F5A" w:rsidRPr="008827B9" w:rsidRDefault="003F60D4" w:rsidP="000C1F5A">
      <w:pPr>
        <w:autoSpaceDE w:val="0"/>
        <w:autoSpaceDN w:val="0"/>
        <w:adjustRightInd w:val="0"/>
        <w:jc w:val="center"/>
        <w:rPr>
          <w:rFonts w:ascii="黑体" w:eastAsia="黑体" w:hAnsi="黑体" w:cs="华文楷体"/>
          <w:b/>
          <w:color w:val="000000"/>
          <w:kern w:val="0"/>
          <w:sz w:val="36"/>
          <w:szCs w:val="36"/>
        </w:rPr>
      </w:pPr>
      <w:r>
        <w:rPr>
          <w:rFonts w:ascii="黑体" w:eastAsia="黑体" w:hAnsi="黑体" w:cs="华文楷体" w:hint="eastAsia"/>
          <w:b/>
          <w:color w:val="000000"/>
          <w:kern w:val="0"/>
          <w:sz w:val="36"/>
          <w:szCs w:val="36"/>
        </w:rPr>
        <w:t>（</w:t>
      </w:r>
      <w:r w:rsidR="00BA6E21" w:rsidRPr="008827B9">
        <w:rPr>
          <w:rFonts w:ascii="黑体" w:eastAsia="黑体" w:hAnsi="黑体" w:cs="华文楷体" w:hint="eastAsia"/>
          <w:b/>
          <w:color w:val="000000"/>
          <w:kern w:val="0"/>
          <w:sz w:val="36"/>
          <w:szCs w:val="36"/>
        </w:rPr>
        <w:t>风险控制及利益冲突</w:t>
      </w:r>
      <w:r>
        <w:rPr>
          <w:rFonts w:ascii="黑体" w:eastAsia="黑体" w:hAnsi="黑体" w:cs="华文楷体" w:hint="eastAsia"/>
          <w:b/>
          <w:color w:val="000000"/>
          <w:kern w:val="0"/>
          <w:sz w:val="36"/>
          <w:szCs w:val="36"/>
        </w:rPr>
        <w:t>）</w:t>
      </w:r>
    </w:p>
    <w:p w14:paraId="388615F8" w14:textId="77777777" w:rsidR="000C1F5A" w:rsidRPr="008827B9" w:rsidRDefault="000C1F5A" w:rsidP="000C1F5A">
      <w:pPr>
        <w:autoSpaceDE w:val="0"/>
        <w:autoSpaceDN w:val="0"/>
        <w:adjustRightInd w:val="0"/>
        <w:jc w:val="center"/>
        <w:rPr>
          <w:rFonts w:ascii="仿宋" w:eastAsia="仿宋" w:hAnsi="仿宋" w:cs="华文楷体"/>
          <w:color w:val="000000"/>
          <w:kern w:val="0"/>
          <w:sz w:val="36"/>
          <w:szCs w:val="36"/>
        </w:rPr>
      </w:pPr>
    </w:p>
    <w:p w14:paraId="0B0593B4" w14:textId="77777777" w:rsidR="000C1F5A" w:rsidRPr="008827B9" w:rsidRDefault="000C1F5A" w:rsidP="000C1F5A">
      <w:pPr>
        <w:autoSpaceDE w:val="0"/>
        <w:autoSpaceDN w:val="0"/>
        <w:adjustRightInd w:val="0"/>
        <w:jc w:val="center"/>
        <w:rPr>
          <w:rFonts w:ascii="黑体" w:eastAsia="黑体" w:hAnsi="黑体" w:cs="华文楷体"/>
          <w:b/>
          <w:color w:val="000000"/>
          <w:kern w:val="0"/>
          <w:sz w:val="36"/>
          <w:szCs w:val="36"/>
        </w:rPr>
      </w:pPr>
    </w:p>
    <w:p w14:paraId="7000143D" w14:textId="77777777" w:rsidR="000C1F5A" w:rsidRPr="008827B9" w:rsidRDefault="000C1F5A" w:rsidP="000C1F5A">
      <w:pPr>
        <w:autoSpaceDE w:val="0"/>
        <w:autoSpaceDN w:val="0"/>
        <w:adjustRightInd w:val="0"/>
        <w:jc w:val="center"/>
        <w:rPr>
          <w:rFonts w:ascii="黑体" w:eastAsia="黑体" w:hAnsi="黑体" w:cs="华文楷体"/>
          <w:b/>
          <w:color w:val="000000"/>
          <w:kern w:val="0"/>
          <w:sz w:val="36"/>
          <w:szCs w:val="36"/>
        </w:rPr>
      </w:pPr>
    </w:p>
    <w:p w14:paraId="4E155CAC" w14:textId="77777777" w:rsidR="000C1F5A" w:rsidRPr="008827B9" w:rsidRDefault="000C1F5A">
      <w:pPr>
        <w:widowControl/>
        <w:jc w:val="left"/>
        <w:rPr>
          <w:rFonts w:ascii="仿宋" w:eastAsia="仿宋" w:hAnsi="仿宋" w:cs="华文楷体"/>
          <w:color w:val="000000"/>
          <w:kern w:val="0"/>
          <w:sz w:val="36"/>
          <w:szCs w:val="36"/>
        </w:rPr>
      </w:pPr>
      <w:r w:rsidRPr="008827B9">
        <w:rPr>
          <w:rFonts w:ascii="仿宋" w:eastAsia="仿宋" w:hAnsi="仿宋" w:cs="华文楷体"/>
          <w:color w:val="000000"/>
          <w:kern w:val="0"/>
          <w:sz w:val="36"/>
          <w:szCs w:val="36"/>
        </w:rPr>
        <w:br w:type="page"/>
      </w:r>
    </w:p>
    <w:p w14:paraId="24911DB5" w14:textId="77777777" w:rsidR="000C1F5A" w:rsidRPr="00831D72" w:rsidRDefault="000C1F5A" w:rsidP="000C1F5A">
      <w:pPr>
        <w:autoSpaceDE w:val="0"/>
        <w:autoSpaceDN w:val="0"/>
        <w:adjustRightInd w:val="0"/>
        <w:jc w:val="center"/>
        <w:rPr>
          <w:rFonts w:ascii="仿宋" w:eastAsia="仿宋" w:hAnsi="仿宋" w:cs="华文楷体"/>
          <w:b/>
          <w:color w:val="000000"/>
          <w:kern w:val="0"/>
          <w:sz w:val="36"/>
          <w:szCs w:val="36"/>
        </w:rPr>
      </w:pPr>
    </w:p>
    <w:p w14:paraId="6E2D7FD1" w14:textId="77777777" w:rsidR="000C1F5A" w:rsidRPr="00831D72" w:rsidRDefault="000C1F5A" w:rsidP="000C1F5A">
      <w:pPr>
        <w:autoSpaceDE w:val="0"/>
        <w:autoSpaceDN w:val="0"/>
        <w:adjustRightInd w:val="0"/>
        <w:jc w:val="center"/>
        <w:rPr>
          <w:rFonts w:ascii="黑体" w:eastAsia="黑体" w:hAnsi="黑体" w:cs="华文楷体"/>
          <w:b/>
          <w:color w:val="000000"/>
          <w:kern w:val="0"/>
          <w:sz w:val="28"/>
          <w:szCs w:val="28"/>
        </w:rPr>
      </w:pPr>
      <w:r w:rsidRPr="00831D72">
        <w:rPr>
          <w:rFonts w:ascii="黑体" w:eastAsia="黑体" w:hAnsi="黑体" w:cs="华文楷体" w:hint="eastAsia"/>
          <w:b/>
          <w:color w:val="000000"/>
          <w:kern w:val="0"/>
          <w:sz w:val="28"/>
          <w:szCs w:val="28"/>
        </w:rPr>
        <w:t>第一章  总则</w:t>
      </w:r>
    </w:p>
    <w:p w14:paraId="628D77AD"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第一条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为了</w:t>
      </w:r>
      <w:r w:rsidR="003D5261" w:rsidRPr="008827B9">
        <w:rPr>
          <w:rFonts w:ascii="仿宋" w:eastAsia="仿宋" w:hAnsi="仿宋" w:cs="华文楷体" w:hint="eastAsia"/>
          <w:color w:val="000000"/>
          <w:kern w:val="0"/>
          <w:sz w:val="28"/>
          <w:szCs w:val="28"/>
        </w:rPr>
        <w:t>泓信</w:t>
      </w:r>
      <w:r w:rsidRPr="008827B9">
        <w:rPr>
          <w:rFonts w:ascii="仿宋" w:eastAsia="仿宋" w:hAnsi="仿宋" w:cs="华文楷体" w:hint="eastAsia"/>
          <w:color w:val="000000"/>
          <w:kern w:val="0"/>
          <w:sz w:val="28"/>
          <w:szCs w:val="28"/>
        </w:rPr>
        <w:t>资本投资管理有限公司（以下简称“公司”）的规范发展，有效防范和化解风险，依据相关法律法规，特制定本制度。</w:t>
      </w:r>
    </w:p>
    <w:p w14:paraId="68350056"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内部控制制度是公司为保护资产的安全与完整，促进各项经营活动的有效实施而制定的各种业务操作程序、管理方法与控制措施的总称。</w:t>
      </w:r>
    </w:p>
    <w:p w14:paraId="545AD0F0" w14:textId="77777777" w:rsidR="000C1F5A" w:rsidRPr="00831D72" w:rsidRDefault="000C1F5A" w:rsidP="000C1F5A">
      <w:pPr>
        <w:autoSpaceDE w:val="0"/>
        <w:autoSpaceDN w:val="0"/>
        <w:adjustRightInd w:val="0"/>
        <w:jc w:val="center"/>
        <w:rPr>
          <w:rFonts w:ascii="黑体" w:eastAsia="黑体" w:hAnsi="黑体" w:cs="华文楷体"/>
          <w:b/>
          <w:color w:val="000000"/>
          <w:kern w:val="0"/>
          <w:sz w:val="28"/>
          <w:szCs w:val="28"/>
        </w:rPr>
      </w:pPr>
      <w:r w:rsidRPr="00831D72">
        <w:rPr>
          <w:rFonts w:ascii="黑体" w:eastAsia="黑体" w:hAnsi="黑体" w:cs="华文楷体" w:hint="eastAsia"/>
          <w:b/>
          <w:color w:val="000000"/>
          <w:kern w:val="0"/>
          <w:sz w:val="28"/>
          <w:szCs w:val="28"/>
        </w:rPr>
        <w:t>第二章  内部控制的目标和原则</w:t>
      </w:r>
    </w:p>
    <w:p w14:paraId="3B0E5E08"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第三条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公司内部控制的目标：</w:t>
      </w:r>
    </w:p>
    <w:p w14:paraId="313A2064"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（一）保证经营的合法合规及公司内部规章制度的贯彻执行；</w:t>
      </w:r>
    </w:p>
    <w:p w14:paraId="1DF95ABF"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（二）防范经营风险和道德风险；</w:t>
      </w:r>
    </w:p>
    <w:p w14:paraId="021B10A1"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（三）保障客户及公司资产的安全、完整；</w:t>
      </w:r>
    </w:p>
    <w:p w14:paraId="6359AFA7"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（四）保证公司业务记录、财务信息和其他信息的可靠、完整、及时；</w:t>
      </w:r>
    </w:p>
    <w:p w14:paraId="02B4783C"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（五）提高公司经营效率和效果。</w:t>
      </w:r>
    </w:p>
    <w:p w14:paraId="607542C1"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第四条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公司内部控制制度的原则：</w:t>
      </w:r>
    </w:p>
    <w:p w14:paraId="0D8EBF5C"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（一）健全性：内部控制应当做到事前、事中、事后控制相统一；覆盖公司的所有业务和人员，渗透到决策、执行、监督、反馈等各个环节，确保不存在内部控制的空白或漏洞。</w:t>
      </w:r>
    </w:p>
    <w:p w14:paraId="384FDD5A"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（二）合理性：内部控制应当符合国家有关法律法规和主管机构的有关规定，与公司经营规模、业务范围、风险状况及公司所处</w:t>
      </w:r>
      <w:r w:rsidRPr="008827B9">
        <w:rPr>
          <w:rFonts w:ascii="仿宋" w:eastAsia="仿宋" w:hAnsi="仿宋" w:cs="华文楷体" w:hint="eastAsia"/>
          <w:color w:val="000000"/>
          <w:kern w:val="0"/>
          <w:sz w:val="28"/>
          <w:szCs w:val="28"/>
        </w:rPr>
        <w:lastRenderedPageBreak/>
        <w:t>的环境相适应，以合理的成本实现内部控制目标。</w:t>
      </w:r>
    </w:p>
    <w:p w14:paraId="6AEB909F"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（三）制衡性：公司岗位的设置应当权责分明、相互牵制；前台业务运作与后台管理支持适当分离。</w:t>
      </w:r>
    </w:p>
    <w:p w14:paraId="6A18162D"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8827B9">
        <w:rPr>
          <w:rFonts w:ascii="仿宋" w:eastAsia="仿宋" w:hAnsi="仿宋" w:cs="华文楷体" w:hint="eastAsia"/>
          <w:color w:val="000000"/>
          <w:kern w:val="0"/>
          <w:sz w:val="28"/>
          <w:szCs w:val="28"/>
        </w:rPr>
        <w:t>（四）独立性：承担内部控制监督检查职能的岗位应当独立于公司其他岗位。</w:t>
      </w:r>
    </w:p>
    <w:p w14:paraId="3917A446" w14:textId="77777777" w:rsidR="000C1F5A" w:rsidRPr="00831D72" w:rsidRDefault="000C1F5A" w:rsidP="000C1F5A">
      <w:pPr>
        <w:autoSpaceDE w:val="0"/>
        <w:autoSpaceDN w:val="0"/>
        <w:adjustRightInd w:val="0"/>
        <w:jc w:val="center"/>
        <w:rPr>
          <w:rFonts w:ascii="黑体" w:eastAsia="黑体" w:hAnsi="黑体" w:cs="华文楷体"/>
          <w:b/>
          <w:color w:val="000000"/>
          <w:kern w:val="0"/>
          <w:sz w:val="28"/>
          <w:szCs w:val="28"/>
        </w:rPr>
      </w:pPr>
      <w:r w:rsidRPr="00831D72">
        <w:rPr>
          <w:rFonts w:ascii="黑体" w:eastAsia="黑体" w:hAnsi="黑体" w:cs="华文楷体" w:hint="eastAsia"/>
          <w:b/>
          <w:color w:val="000000"/>
          <w:kern w:val="0"/>
          <w:sz w:val="28"/>
          <w:szCs w:val="28"/>
        </w:rPr>
        <w:t>第三章  内部控制的主要内容</w:t>
      </w:r>
    </w:p>
    <w:p w14:paraId="5B05E8CB"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第五条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公司内部控制主要内容包括：防范母公司利益冲突、风险管理、环境控制、电子信息系统控制、信息传递控制等。</w:t>
      </w:r>
    </w:p>
    <w:p w14:paraId="0CC0AC02" w14:textId="77777777" w:rsidR="000C1F5A" w:rsidRPr="00007B66" w:rsidRDefault="000C1F5A" w:rsidP="000C1F5A">
      <w:pPr>
        <w:autoSpaceDE w:val="0"/>
        <w:autoSpaceDN w:val="0"/>
        <w:adjustRightInd w:val="0"/>
        <w:ind w:firstLineChars="200" w:firstLine="562"/>
        <w:jc w:val="left"/>
        <w:rPr>
          <w:rFonts w:ascii="黑体" w:eastAsia="黑体" w:hAnsi="黑体" w:cs="华文楷体"/>
          <w:b/>
          <w:color w:val="000000"/>
          <w:kern w:val="0"/>
          <w:sz w:val="28"/>
          <w:szCs w:val="28"/>
        </w:rPr>
      </w:pPr>
      <w:r w:rsidRPr="00007B66">
        <w:rPr>
          <w:rFonts w:ascii="黑体" w:eastAsia="黑体" w:hAnsi="黑体" w:cs="华文楷体" w:hint="eastAsia"/>
          <w:b/>
          <w:color w:val="000000"/>
          <w:kern w:val="0"/>
          <w:sz w:val="28"/>
          <w:szCs w:val="28"/>
        </w:rPr>
        <w:t xml:space="preserve">第一节 </w:t>
      </w:r>
      <w:r w:rsidR="00977609" w:rsidRPr="00007B66">
        <w:rPr>
          <w:rFonts w:ascii="黑体" w:eastAsia="黑体" w:hAnsi="黑体" w:cs="华文楷体" w:hint="eastAsia"/>
          <w:b/>
          <w:color w:val="000000"/>
          <w:kern w:val="0"/>
          <w:sz w:val="28"/>
          <w:szCs w:val="28"/>
        </w:rPr>
        <w:t xml:space="preserve"> </w:t>
      </w:r>
      <w:r w:rsidRPr="00007B66">
        <w:rPr>
          <w:rFonts w:ascii="黑体" w:eastAsia="黑体" w:hAnsi="黑体" w:cs="华文楷体" w:hint="eastAsia"/>
          <w:b/>
          <w:color w:val="000000"/>
          <w:kern w:val="0"/>
          <w:sz w:val="28"/>
          <w:szCs w:val="28"/>
        </w:rPr>
        <w:t>防范母公司利益冲突</w:t>
      </w:r>
    </w:p>
    <w:p w14:paraId="569390A8"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第六条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为切实防范公司</w:t>
      </w:r>
      <w:r w:rsidR="00756DBE">
        <w:rPr>
          <w:rFonts w:ascii="仿宋" w:eastAsia="仿宋" w:hAnsi="仿宋" w:cs="华文楷体" w:hint="eastAsia"/>
          <w:color w:val="000000"/>
          <w:kern w:val="0"/>
          <w:sz w:val="28"/>
          <w:szCs w:val="28"/>
        </w:rPr>
        <w:t>与</w:t>
      </w:r>
      <w:r w:rsidRPr="008827B9">
        <w:rPr>
          <w:rFonts w:ascii="仿宋" w:eastAsia="仿宋" w:hAnsi="仿宋" w:cs="华文楷体" w:hint="eastAsia"/>
          <w:color w:val="000000"/>
          <w:kern w:val="0"/>
          <w:sz w:val="28"/>
          <w:szCs w:val="28"/>
        </w:rPr>
        <w:t>宏信证券有限责任公司（以下简称“宏信证券”）的利益冲突，促进公司业务的规范发展，根据《证券公司直接投资业务规范》等相关法律法规、监管规定制定本制度。</w:t>
      </w:r>
    </w:p>
    <w:p w14:paraId="76216541"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第七条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本制度所称防范利益冲突，是指通过公司与宏信证券之间在人员、机构、财务、资产、经营管理、业务运作等方面独立运作、分开管理、相互隔离等措施，加强母子公司之间风险控制和合规管理，防止母子公司发生利益冲突、利益输送、“暗箱”操作和道德风险，保障公司与宏信证券合法合规运营的内部控制制度安排及措施。</w:t>
      </w:r>
    </w:p>
    <w:p w14:paraId="7A3661DA"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第八条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公司的行政负责人是防范利益冲突制度实施的第一责任人，并需指定专人具体负责落实本制度，开展防范公司与</w:t>
      </w:r>
      <w:r w:rsidR="00423B1D" w:rsidRPr="008827B9">
        <w:rPr>
          <w:rFonts w:ascii="仿宋" w:eastAsia="仿宋" w:hAnsi="仿宋" w:cs="华文楷体" w:hint="eastAsia"/>
          <w:color w:val="000000"/>
          <w:kern w:val="0"/>
          <w:sz w:val="28"/>
          <w:szCs w:val="28"/>
        </w:rPr>
        <w:t>宏信</w:t>
      </w:r>
      <w:r w:rsidRPr="008827B9">
        <w:rPr>
          <w:rFonts w:ascii="仿宋" w:eastAsia="仿宋" w:hAnsi="仿宋" w:cs="华文楷体" w:hint="eastAsia"/>
          <w:color w:val="000000"/>
          <w:kern w:val="0"/>
          <w:sz w:val="28"/>
          <w:szCs w:val="28"/>
        </w:rPr>
        <w:t>证券利益冲突相关工作。</w:t>
      </w:r>
    </w:p>
    <w:p w14:paraId="1354D020"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lastRenderedPageBreak/>
        <w:t>第九条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公司与宏信证券在机构、财务、资产、经营管理、业务运作等方面相互独立。</w:t>
      </w:r>
    </w:p>
    <w:p w14:paraId="37C10CB4" w14:textId="77777777" w:rsidR="000C1F5A" w:rsidRPr="008827B9"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第十条</w:t>
      </w:r>
      <w:r w:rsidRPr="008827B9">
        <w:rPr>
          <w:rFonts w:ascii="仿宋" w:eastAsia="仿宋" w:hAnsi="仿宋" w:cs="华文楷体"/>
          <w:color w:val="000000"/>
          <w:kern w:val="0"/>
          <w:sz w:val="28"/>
          <w:szCs w:val="28"/>
        </w:rPr>
        <w:t xml:space="preserve"> </w:t>
      </w:r>
      <w:r w:rsidRPr="008827B9">
        <w:rPr>
          <w:rFonts w:ascii="仿宋" w:eastAsia="仿宋" w:hAnsi="仿宋" w:cs="华文楷体" w:hint="eastAsia"/>
          <w:color w:val="000000"/>
          <w:kern w:val="0"/>
          <w:sz w:val="28"/>
          <w:szCs w:val="28"/>
        </w:rPr>
        <w:t>公司具有独立的法人治理结构，独立进行经营管理、投资决策和投资管理，实现母子公司在业务上的相互独立。宏信证券不得违规干预公司的投资决策。</w:t>
      </w:r>
      <w:r w:rsidRPr="003814E2">
        <w:rPr>
          <w:rFonts w:ascii="仿宋" w:eastAsia="仿宋" w:hAnsi="仿宋" w:cs="华文楷体" w:hint="eastAsia"/>
          <w:color w:val="000000"/>
          <w:kern w:val="0"/>
          <w:sz w:val="28"/>
          <w:szCs w:val="28"/>
        </w:rPr>
        <w:t>公司投资决策委员会成员中，公司的人员数量不得低于二分之一，宏信证券的人员数量不得超过三分之一。</w:t>
      </w:r>
    </w:p>
    <w:p w14:paraId="04112E42" w14:textId="77777777" w:rsidR="000C1F5A" w:rsidRPr="003814E2"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第十一条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公司建立独立投资决策机制，明确投资决策权限，项目选择标准，投资比例限制以及有关业务流程，提高投资决策、执行、监督的透明度，防范投资风险。</w:t>
      </w:r>
    </w:p>
    <w:p w14:paraId="22285DCA" w14:textId="77777777" w:rsidR="000C1F5A" w:rsidRPr="003814E2"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第十二条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公司运作坚持市场化原则，引进专业投资人才，建立专业团队，树立品牌意识，促进合理竞争。</w:t>
      </w:r>
    </w:p>
    <w:p w14:paraId="01A2D0A0" w14:textId="77777777" w:rsidR="000C1F5A" w:rsidRPr="003814E2"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第十三条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加强人员管理，</w:t>
      </w:r>
      <w:r w:rsidR="003D5261" w:rsidRPr="003814E2">
        <w:rPr>
          <w:rFonts w:ascii="仿宋" w:eastAsia="仿宋" w:hAnsi="仿宋" w:cs="华文楷体" w:hint="eastAsia"/>
          <w:color w:val="000000"/>
          <w:kern w:val="0"/>
          <w:sz w:val="28"/>
          <w:szCs w:val="28"/>
        </w:rPr>
        <w:t>泓信</w:t>
      </w:r>
      <w:r w:rsidR="00756DBE">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的业务人员、投资决策委员会人员或者</w:t>
      </w:r>
      <w:r w:rsidR="003D5261" w:rsidRPr="003814E2">
        <w:rPr>
          <w:rFonts w:ascii="仿宋" w:eastAsia="仿宋" w:hAnsi="仿宋" w:cs="华文楷体" w:hint="eastAsia"/>
          <w:color w:val="000000"/>
          <w:kern w:val="0"/>
          <w:sz w:val="28"/>
          <w:szCs w:val="28"/>
        </w:rPr>
        <w:t>董事会</w:t>
      </w:r>
      <w:r w:rsidRPr="003814E2">
        <w:rPr>
          <w:rFonts w:ascii="仿宋" w:eastAsia="仿宋" w:hAnsi="仿宋" w:cs="华文楷体" w:hint="eastAsia"/>
          <w:color w:val="000000"/>
          <w:kern w:val="0"/>
          <w:sz w:val="28"/>
          <w:szCs w:val="28"/>
        </w:rPr>
        <w:t>等有关人员与拟投资项目存在利益关联的，应当回避。</w:t>
      </w:r>
    </w:p>
    <w:p w14:paraId="5E2A2D1D" w14:textId="77777777" w:rsidR="000C1F5A" w:rsidRPr="003814E2" w:rsidRDefault="000C1F5A" w:rsidP="003D5261">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第十四条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组织机构、</w:t>
      </w:r>
      <w:r w:rsidR="003D5261" w:rsidRPr="003814E2">
        <w:rPr>
          <w:rFonts w:ascii="仿宋" w:eastAsia="仿宋" w:hAnsi="仿宋" w:cs="华文楷体" w:hint="eastAsia"/>
          <w:color w:val="000000"/>
          <w:kern w:val="0"/>
          <w:sz w:val="28"/>
          <w:szCs w:val="28"/>
        </w:rPr>
        <w:t>内部管理、</w:t>
      </w:r>
      <w:r w:rsidRPr="003814E2">
        <w:rPr>
          <w:rFonts w:ascii="仿宋" w:eastAsia="仿宋" w:hAnsi="仿宋" w:cs="华文楷体" w:hint="eastAsia"/>
          <w:color w:val="000000"/>
          <w:kern w:val="0"/>
          <w:sz w:val="28"/>
          <w:szCs w:val="28"/>
        </w:rPr>
        <w:t>业务运作相互独立，并且办公场所物理隔离。</w:t>
      </w:r>
      <w:r w:rsidR="003D5261" w:rsidRPr="003814E2">
        <w:rPr>
          <w:rFonts w:ascii="仿宋" w:eastAsia="仿宋" w:hAnsi="仿宋" w:cs="华文楷体" w:hint="eastAsia"/>
          <w:color w:val="000000"/>
          <w:kern w:val="0"/>
          <w:sz w:val="28"/>
          <w:szCs w:val="28"/>
        </w:rPr>
        <w:t>泓信</w:t>
      </w:r>
      <w:r w:rsidR="00756DBE">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具有独立的法人治理结构、独立进行经营管理、投资决策和投资管理，宏信证券不得违规干预</w:t>
      </w:r>
      <w:r w:rsidR="003D5261" w:rsidRPr="003814E2">
        <w:rPr>
          <w:rFonts w:ascii="仿宋" w:eastAsia="仿宋" w:hAnsi="仿宋" w:cs="华文楷体" w:hint="eastAsia"/>
          <w:color w:val="000000"/>
          <w:kern w:val="0"/>
          <w:sz w:val="28"/>
          <w:szCs w:val="28"/>
        </w:rPr>
        <w:t>泓信</w:t>
      </w:r>
      <w:r w:rsidR="00756DBE">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的投资决策，</w:t>
      </w:r>
      <w:r w:rsidR="003D5261" w:rsidRPr="003814E2">
        <w:rPr>
          <w:rFonts w:ascii="仿宋" w:eastAsia="仿宋" w:hAnsi="仿宋" w:cs="华文楷体" w:hint="eastAsia"/>
          <w:color w:val="000000"/>
          <w:kern w:val="0"/>
          <w:sz w:val="28"/>
          <w:szCs w:val="28"/>
        </w:rPr>
        <w:t>泓信</w:t>
      </w:r>
      <w:r w:rsidR="003F60D4">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投资项目的调查、分析、评价均由其独立完成。</w:t>
      </w:r>
    </w:p>
    <w:p w14:paraId="1311AB13" w14:textId="77777777" w:rsidR="000C1F5A" w:rsidRPr="003814E2" w:rsidRDefault="000C1F5A" w:rsidP="000C1F5A">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第十五条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资金财务分开管理，</w:t>
      </w:r>
      <w:r w:rsidR="003D5261" w:rsidRPr="003814E2">
        <w:rPr>
          <w:rFonts w:ascii="仿宋" w:eastAsia="仿宋" w:hAnsi="仿宋" w:cs="华文楷体" w:hint="eastAsia"/>
          <w:color w:val="000000"/>
          <w:kern w:val="0"/>
          <w:sz w:val="28"/>
          <w:szCs w:val="28"/>
        </w:rPr>
        <w:t>泓信</w:t>
      </w:r>
      <w:r w:rsidR="003F60D4">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在资金的管理、使用和财务核算上与宏信证券</w:t>
      </w:r>
      <w:r w:rsidR="001D124F" w:rsidRPr="003814E2">
        <w:rPr>
          <w:rFonts w:ascii="仿宋" w:eastAsia="仿宋" w:hAnsi="仿宋" w:cs="华文楷体" w:hint="eastAsia"/>
          <w:color w:val="000000"/>
          <w:kern w:val="0"/>
          <w:sz w:val="28"/>
          <w:szCs w:val="28"/>
        </w:rPr>
        <w:t>有效隔离</w:t>
      </w:r>
      <w:r w:rsidRPr="003814E2">
        <w:rPr>
          <w:rFonts w:ascii="仿宋" w:eastAsia="仿宋" w:hAnsi="仿宋" w:cs="华文楷体" w:hint="eastAsia"/>
          <w:color w:val="000000"/>
          <w:kern w:val="0"/>
          <w:sz w:val="28"/>
          <w:szCs w:val="28"/>
        </w:rPr>
        <w:t>。公司设立独立的财务部</w:t>
      </w:r>
      <w:r w:rsidRPr="003814E2">
        <w:rPr>
          <w:rFonts w:ascii="仿宋" w:eastAsia="仿宋" w:hAnsi="仿宋" w:cs="华文楷体"/>
          <w:color w:val="000000"/>
          <w:kern w:val="0"/>
          <w:sz w:val="28"/>
          <w:szCs w:val="28"/>
        </w:rPr>
        <w:t>,</w:t>
      </w:r>
      <w:r w:rsidRPr="003814E2">
        <w:rPr>
          <w:rFonts w:ascii="仿宋" w:eastAsia="仿宋" w:hAnsi="仿宋" w:cs="华文楷体" w:hint="eastAsia"/>
          <w:color w:val="000000"/>
          <w:kern w:val="0"/>
          <w:sz w:val="28"/>
          <w:szCs w:val="28"/>
        </w:rPr>
        <w:t>设立独立的会计核算体系和财务管理制度，在银行独立开户，独立纳税，禁</w:t>
      </w:r>
      <w:r w:rsidRPr="003814E2">
        <w:rPr>
          <w:rFonts w:ascii="仿宋" w:eastAsia="仿宋" w:hAnsi="仿宋" w:cs="华文楷体" w:hint="eastAsia"/>
          <w:color w:val="000000"/>
          <w:kern w:val="0"/>
          <w:sz w:val="28"/>
          <w:szCs w:val="28"/>
        </w:rPr>
        <w:lastRenderedPageBreak/>
        <w:t>止公司和宏信证券资金相互占用。</w:t>
      </w:r>
    </w:p>
    <w:p w14:paraId="27DCA84F"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第十六条</w:t>
      </w:r>
      <w:r w:rsidRPr="003814E2">
        <w:rPr>
          <w:rFonts w:ascii="仿宋" w:eastAsia="仿宋" w:hAnsi="仿宋" w:cs="华文楷体"/>
          <w:b/>
          <w:color w:val="000000"/>
          <w:kern w:val="0"/>
          <w:sz w:val="28"/>
          <w:szCs w:val="28"/>
        </w:rPr>
        <w:t xml:space="preserve"> </w:t>
      </w:r>
      <w:r w:rsidRPr="003814E2">
        <w:rPr>
          <w:rFonts w:ascii="仿宋" w:eastAsia="仿宋" w:hAnsi="仿宋" w:cs="华文楷体" w:hint="eastAsia"/>
          <w:color w:val="000000"/>
          <w:kern w:val="0"/>
          <w:sz w:val="28"/>
          <w:szCs w:val="28"/>
        </w:rPr>
        <w:t>建立信息传播防火墙，为防止由于信息的传播和共享范围不当而造成</w:t>
      </w:r>
      <w:r w:rsidR="00977609" w:rsidRPr="003814E2">
        <w:rPr>
          <w:rFonts w:ascii="仿宋" w:eastAsia="仿宋" w:hAnsi="仿宋" w:cs="华文楷体" w:hint="eastAsia"/>
          <w:color w:val="000000"/>
          <w:kern w:val="0"/>
          <w:sz w:val="28"/>
          <w:szCs w:val="28"/>
        </w:rPr>
        <w:t>内幕消息泄漏、违规经营等现象的发生，公司与宏</w:t>
      </w:r>
      <w:r w:rsidRPr="003814E2">
        <w:rPr>
          <w:rFonts w:ascii="仿宋" w:eastAsia="仿宋" w:hAnsi="仿宋" w:cs="华文楷体" w:hint="eastAsia"/>
          <w:color w:val="000000"/>
          <w:kern w:val="0"/>
          <w:sz w:val="28"/>
          <w:szCs w:val="28"/>
        </w:rPr>
        <w:t>信证券之间的信息传播适度隔离，对因业务需要知悉相关信息的人员，制定严格的批准程序和监督措施。</w:t>
      </w:r>
    </w:p>
    <w:p w14:paraId="57319F36" w14:textId="77777777" w:rsidR="000C1F5A" w:rsidRPr="003814E2" w:rsidRDefault="000C1F5A" w:rsidP="00977609">
      <w:pPr>
        <w:autoSpaceDE w:val="0"/>
        <w:autoSpaceDN w:val="0"/>
        <w:adjustRightInd w:val="0"/>
        <w:ind w:firstLineChars="200" w:firstLine="562"/>
        <w:jc w:val="left"/>
        <w:rPr>
          <w:rFonts w:ascii="仿宋" w:eastAsia="仿宋" w:hAnsi="仿宋" w:cs="华文楷体"/>
          <w:b/>
          <w:color w:val="000000"/>
          <w:kern w:val="0"/>
          <w:sz w:val="28"/>
          <w:szCs w:val="28"/>
        </w:rPr>
      </w:pPr>
      <w:r w:rsidRPr="00007B66">
        <w:rPr>
          <w:rFonts w:ascii="黑体" w:eastAsia="黑体" w:hAnsi="黑体" w:cs="华文楷体" w:hint="eastAsia"/>
          <w:b/>
          <w:color w:val="000000"/>
          <w:kern w:val="0"/>
          <w:sz w:val="28"/>
          <w:szCs w:val="28"/>
        </w:rPr>
        <w:t>第二节</w:t>
      </w:r>
      <w:r w:rsidR="00977609" w:rsidRPr="00007B66">
        <w:rPr>
          <w:rFonts w:ascii="黑体" w:eastAsia="黑体" w:hAnsi="黑体" w:cs="华文楷体" w:hint="eastAsia"/>
          <w:b/>
          <w:color w:val="000000"/>
          <w:kern w:val="0"/>
          <w:sz w:val="28"/>
          <w:szCs w:val="28"/>
        </w:rPr>
        <w:t xml:space="preserve"> </w:t>
      </w:r>
      <w:r w:rsidR="00977609" w:rsidRPr="003814E2">
        <w:rPr>
          <w:rFonts w:ascii="仿宋" w:eastAsia="仿宋" w:hAnsi="仿宋" w:cs="华文楷体" w:hint="eastAsia"/>
          <w:b/>
          <w:color w:val="000000"/>
          <w:kern w:val="0"/>
          <w:sz w:val="28"/>
          <w:szCs w:val="28"/>
        </w:rPr>
        <w:t xml:space="preserve"> </w:t>
      </w:r>
      <w:r w:rsidRPr="00007B66">
        <w:rPr>
          <w:rFonts w:ascii="黑体" w:eastAsia="黑体" w:hAnsi="黑体" w:cs="华文楷体" w:hint="eastAsia"/>
          <w:b/>
          <w:color w:val="000000"/>
          <w:kern w:val="0"/>
          <w:sz w:val="28"/>
          <w:szCs w:val="28"/>
        </w:rPr>
        <w:t>风险管理</w:t>
      </w:r>
    </w:p>
    <w:p w14:paraId="25B5C385"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第十七条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公司风险管理工作严格遵循以下原则：</w:t>
      </w:r>
    </w:p>
    <w:p w14:paraId="491A842E"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全面性原则：公司风险管理必须覆盖公司的所有部门和岗位</w:t>
      </w:r>
      <w:r w:rsidRPr="003814E2">
        <w:rPr>
          <w:rFonts w:ascii="仿宋" w:eastAsia="仿宋" w:hAnsi="仿宋" w:cs="华文楷体"/>
          <w:color w:val="000000"/>
          <w:kern w:val="0"/>
          <w:sz w:val="28"/>
          <w:szCs w:val="28"/>
        </w:rPr>
        <w:t>,</w:t>
      </w:r>
      <w:r w:rsidRPr="003814E2">
        <w:rPr>
          <w:rFonts w:ascii="仿宋" w:eastAsia="仿宋" w:hAnsi="仿宋" w:cs="华文楷体" w:hint="eastAsia"/>
          <w:color w:val="000000"/>
          <w:kern w:val="0"/>
          <w:sz w:val="28"/>
          <w:szCs w:val="28"/>
        </w:rPr>
        <w:t>贯穿各项业务过程的业务环节。</w:t>
      </w:r>
    </w:p>
    <w:p w14:paraId="194DC1C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独立性原则：公司设立独立的风险管理部门</w:t>
      </w:r>
      <w:r w:rsidRPr="008827B9">
        <w:rPr>
          <w:rFonts w:ascii="仿宋" w:eastAsia="仿宋" w:hAnsi="仿宋" w:cs="华文楷体" w:hint="eastAsia"/>
          <w:color w:val="000000"/>
          <w:kern w:val="0"/>
          <w:sz w:val="28"/>
          <w:szCs w:val="28"/>
        </w:rPr>
        <w:t>，全面负责公司的风险管理工作，并保持其权威性。</w:t>
      </w:r>
    </w:p>
    <w:p w14:paraId="570F22A4"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相互制约原则：公司各部门在内部结构的设计上要形成一种相互制约的机制，建立不同部门和岗位之间的制衡体系，强化风险管理机构的风险管理职能。</w:t>
      </w:r>
    </w:p>
    <w:p w14:paraId="7AB0CE62"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第十八条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公司风险管理的目标：</w:t>
      </w:r>
    </w:p>
    <w:p w14:paraId="6BEA798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保证公司的经营运作符合国家有关法律法规</w:t>
      </w:r>
      <w:r w:rsidRPr="003814E2">
        <w:rPr>
          <w:rFonts w:ascii="仿宋" w:eastAsia="仿宋" w:hAnsi="仿宋" w:cs="华文楷体"/>
          <w:color w:val="000000"/>
          <w:kern w:val="0"/>
          <w:sz w:val="28"/>
          <w:szCs w:val="28"/>
        </w:rPr>
        <w:t>,</w:t>
      </w:r>
      <w:r w:rsidRPr="003814E2">
        <w:rPr>
          <w:rFonts w:ascii="仿宋" w:eastAsia="仿宋" w:hAnsi="仿宋" w:cs="华文楷体" w:hint="eastAsia"/>
          <w:color w:val="000000"/>
          <w:kern w:val="0"/>
          <w:sz w:val="28"/>
          <w:szCs w:val="28"/>
        </w:rPr>
        <w:t>证监会的监管规定和公司各项规章制度；</w:t>
      </w:r>
    </w:p>
    <w:p w14:paraId="1D4496CB"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保证公司股东的合法权益；</w:t>
      </w:r>
    </w:p>
    <w:p w14:paraId="6B59BB7E"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保证公司在投资项目中的合法权益；</w:t>
      </w:r>
    </w:p>
    <w:p w14:paraId="6C7AB121"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（四）</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保证公司投资决策程序的规范、科学、合理；</w:t>
      </w:r>
    </w:p>
    <w:p w14:paraId="39EA2F9B"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（五）</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保证公司的经营管理目标得以实现；</w:t>
      </w:r>
    </w:p>
    <w:p w14:paraId="68312772"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（六）</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严格控制公司内部各种风险，保证公司业务稳健发展。</w:t>
      </w:r>
    </w:p>
    <w:p w14:paraId="40C32DF6"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lastRenderedPageBreak/>
        <w:t>第十九条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风险</w:t>
      </w:r>
      <w:r w:rsidR="003F60D4">
        <w:rPr>
          <w:rFonts w:ascii="仿宋" w:eastAsia="仿宋" w:hAnsi="仿宋" w:cs="华文楷体" w:hint="eastAsia"/>
          <w:color w:val="000000"/>
          <w:kern w:val="0"/>
          <w:sz w:val="28"/>
          <w:szCs w:val="28"/>
        </w:rPr>
        <w:t>管理</w:t>
      </w:r>
      <w:r w:rsidRPr="003814E2">
        <w:rPr>
          <w:rFonts w:ascii="仿宋" w:eastAsia="仿宋" w:hAnsi="仿宋" w:cs="华文楷体" w:hint="eastAsia"/>
          <w:color w:val="000000"/>
          <w:kern w:val="0"/>
          <w:sz w:val="28"/>
          <w:szCs w:val="28"/>
        </w:rPr>
        <w:t>部门的职责：</w:t>
      </w:r>
    </w:p>
    <w:p w14:paraId="1AC6FF46"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制定公司内部风险控制制度，提出风险防范措施，供管理层和投资决策委员会决策参考；</w:t>
      </w:r>
    </w:p>
    <w:p w14:paraId="5F3BF027"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检查公司各部门风险控制制度的落实情况；</w:t>
      </w:r>
    </w:p>
    <w:p w14:paraId="1978EC3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对所投资项目的风险进行预测、评估和控制；</w:t>
      </w:r>
    </w:p>
    <w:p w14:paraId="4F0A26CF"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（四）</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对公司内部管理中存在的风险隐患或出现的风险问题进行研究，提出解决办法。</w:t>
      </w:r>
    </w:p>
    <w:p w14:paraId="537FBB93"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风险</w:t>
      </w:r>
      <w:r w:rsidR="003F60D4">
        <w:rPr>
          <w:rFonts w:ascii="仿宋" w:eastAsia="仿宋" w:hAnsi="仿宋" w:cs="华文楷体" w:hint="eastAsia"/>
          <w:color w:val="000000"/>
          <w:kern w:val="0"/>
          <w:sz w:val="28"/>
          <w:szCs w:val="28"/>
        </w:rPr>
        <w:t>管理</w:t>
      </w:r>
      <w:r w:rsidRPr="003814E2">
        <w:rPr>
          <w:rFonts w:ascii="仿宋" w:eastAsia="仿宋" w:hAnsi="仿宋" w:cs="华文楷体" w:hint="eastAsia"/>
          <w:color w:val="000000"/>
          <w:kern w:val="0"/>
          <w:sz w:val="28"/>
          <w:szCs w:val="28"/>
        </w:rPr>
        <w:t>部基本职能：</w:t>
      </w:r>
    </w:p>
    <w:p w14:paraId="664BD137" w14:textId="77777777" w:rsidR="000C1F5A" w:rsidRPr="008827B9"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对拟投资项目的投资立项报告、投资决策报告及其相关资料出具风险评估意见，提交公司投资决策委员会讨论。</w:t>
      </w:r>
    </w:p>
    <w:p w14:paraId="05A60A85"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评估与揭示公司运营运作中的资金财务风险和内部管理风险，包括对公司投资决策程序的规范性、项目投入的资金安全、公司委派到被投资企业的董事／监事等进行监管。</w:t>
      </w:r>
    </w:p>
    <w:p w14:paraId="4DEE3422"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评估与揭示公司运营运作中的法律风险，包括对公司的项目投资是否符合国家法律法规和公司章程的规定、公司股东的合法权益是否受到侵犯、公司在所投资项目中的合法权益是否受到侵犯等进行审查、评估并提出相应对策。</w:t>
      </w:r>
    </w:p>
    <w:p w14:paraId="4652CF72"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第二十一条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管理风险的具体办法</w:t>
      </w:r>
    </w:p>
    <w:p w14:paraId="71ED331C"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定期对公司业务流程及流程执行情况进行审查，以确保业务流程的合理性和有效性、确保各部门机构都能严格按照投资决策程序和业务流程办事，实现投资决策的科学性和正确性。</w:t>
      </w:r>
    </w:p>
    <w:p w14:paraId="33CEAC30"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根据公司相关部门及产权代表的有关报告以及市场变化</w:t>
      </w:r>
      <w:r w:rsidRPr="003814E2">
        <w:rPr>
          <w:rFonts w:ascii="仿宋" w:eastAsia="仿宋" w:hAnsi="仿宋" w:cs="华文楷体" w:hint="eastAsia"/>
          <w:color w:val="000000"/>
          <w:kern w:val="0"/>
          <w:sz w:val="28"/>
          <w:szCs w:val="28"/>
        </w:rPr>
        <w:lastRenderedPageBreak/>
        <w:t>动向，公司风险控制部门定期编制已投资项目风险管理报告，并不定期组织对被投资企业进行评估，提出风险防范措施或投资调整、退出建议。</w:t>
      </w:r>
    </w:p>
    <w:p w14:paraId="1AB0806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建立健全保密制度，对属于保密对象的被投资企业技术秘密和商业秘密、公司财务状况、资金运作计划、交易统计资料、在谈项目进展情况、研究策划方案等，采取有效的保密措施，防止公司秘密信息外泄。</w:t>
      </w:r>
    </w:p>
    <w:p w14:paraId="003A0C5E"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第二十二条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股权投资五级风险管理</w:t>
      </w:r>
      <w:r w:rsidR="006666D8" w:rsidRPr="003814E2">
        <w:rPr>
          <w:rFonts w:ascii="仿宋" w:eastAsia="仿宋" w:hAnsi="仿宋" w:cs="华文楷体" w:hint="eastAsia"/>
          <w:color w:val="000000"/>
          <w:kern w:val="0"/>
          <w:sz w:val="28"/>
          <w:szCs w:val="28"/>
        </w:rPr>
        <w:t>标准</w:t>
      </w:r>
    </w:p>
    <w:p w14:paraId="4DF920AE"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股权投资五级分类风险管理</w:t>
      </w:r>
      <w:r w:rsidR="006666D8" w:rsidRPr="003814E2">
        <w:rPr>
          <w:rFonts w:ascii="仿宋" w:eastAsia="仿宋" w:hAnsi="仿宋" w:cs="华文楷体" w:hint="eastAsia"/>
          <w:color w:val="000000"/>
          <w:kern w:val="0"/>
          <w:sz w:val="28"/>
          <w:szCs w:val="28"/>
        </w:rPr>
        <w:t>标准</w:t>
      </w:r>
      <w:r w:rsidRPr="003814E2">
        <w:rPr>
          <w:rFonts w:ascii="仿宋" w:eastAsia="仿宋" w:hAnsi="仿宋" w:cs="华文楷体" w:hint="eastAsia"/>
          <w:color w:val="000000"/>
          <w:kern w:val="0"/>
          <w:sz w:val="28"/>
          <w:szCs w:val="28"/>
        </w:rPr>
        <w:t>是对</w:t>
      </w:r>
      <w:r w:rsidR="003D5261" w:rsidRPr="003814E2">
        <w:rPr>
          <w:rFonts w:ascii="仿宋" w:eastAsia="仿宋" w:hAnsi="仿宋" w:cs="华文楷体" w:hint="eastAsia"/>
          <w:color w:val="000000"/>
          <w:kern w:val="0"/>
          <w:sz w:val="28"/>
          <w:szCs w:val="28"/>
        </w:rPr>
        <w:t>泓信</w:t>
      </w:r>
      <w:r w:rsidR="003F60D4">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基本业务和风险管理</w:t>
      </w:r>
      <w:r w:rsidR="006666D8" w:rsidRPr="003814E2">
        <w:rPr>
          <w:rFonts w:ascii="仿宋" w:eastAsia="仿宋" w:hAnsi="仿宋" w:cs="华文楷体" w:hint="eastAsia"/>
          <w:color w:val="000000"/>
          <w:kern w:val="0"/>
          <w:sz w:val="28"/>
          <w:szCs w:val="28"/>
        </w:rPr>
        <w:t>体系的一个重要补充和完善。遵循该标准</w:t>
      </w:r>
      <w:r w:rsidRPr="003814E2">
        <w:rPr>
          <w:rFonts w:ascii="仿宋" w:eastAsia="仿宋" w:hAnsi="仿宋" w:cs="华文楷体" w:hint="eastAsia"/>
          <w:color w:val="000000"/>
          <w:kern w:val="0"/>
          <w:sz w:val="28"/>
          <w:szCs w:val="28"/>
        </w:rPr>
        <w:t>旨在达到以下目的：</w:t>
      </w:r>
    </w:p>
    <w:p w14:paraId="69678555"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培育投资经理的风险管理意识和风险管理能力（为前期投资决策提供有价值的回馈）；</w:t>
      </w:r>
    </w:p>
    <w:p w14:paraId="4372F91A"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建立一个</w:t>
      </w:r>
      <w:r w:rsidR="003D5261" w:rsidRPr="003814E2">
        <w:rPr>
          <w:rFonts w:ascii="仿宋" w:eastAsia="仿宋" w:hAnsi="仿宋" w:cs="华文楷体" w:hint="eastAsia"/>
          <w:color w:val="000000"/>
          <w:kern w:val="0"/>
          <w:sz w:val="28"/>
          <w:szCs w:val="28"/>
        </w:rPr>
        <w:t>泓信</w:t>
      </w:r>
      <w:r w:rsidR="006C3720">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全部已投资项目的风险与回报状况综合分析与评价的统一标准；</w:t>
      </w:r>
    </w:p>
    <w:p w14:paraId="2CCB318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为采取必要的风险管理应对措施，提供一个股东与项目公司管理层沟通的分析基础。</w:t>
      </w:r>
    </w:p>
    <w:p w14:paraId="0A374AFB"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在上述目的得以实现的基础上，</w:t>
      </w:r>
      <w:r w:rsidR="003D5261" w:rsidRPr="003814E2">
        <w:rPr>
          <w:rFonts w:ascii="仿宋" w:eastAsia="仿宋" w:hAnsi="仿宋" w:cs="华文楷体" w:hint="eastAsia"/>
          <w:color w:val="000000"/>
          <w:kern w:val="0"/>
          <w:sz w:val="28"/>
          <w:szCs w:val="28"/>
        </w:rPr>
        <w:t>泓信</w:t>
      </w:r>
      <w:r w:rsidR="006C3720">
        <w:rPr>
          <w:rFonts w:ascii="仿宋" w:eastAsia="仿宋" w:hAnsi="仿宋" w:cs="华文楷体" w:hint="eastAsia"/>
          <w:color w:val="000000"/>
          <w:kern w:val="0"/>
          <w:sz w:val="28"/>
          <w:szCs w:val="28"/>
        </w:rPr>
        <w:t>资本</w:t>
      </w:r>
      <w:r w:rsidRPr="003814E2">
        <w:rPr>
          <w:rFonts w:ascii="仿宋" w:eastAsia="仿宋" w:hAnsi="仿宋" w:cs="华文楷体" w:hint="eastAsia"/>
          <w:color w:val="000000"/>
          <w:kern w:val="0"/>
          <w:sz w:val="28"/>
          <w:szCs w:val="28"/>
        </w:rPr>
        <w:t>团队就可以做到及时发现问题，及早采取应对措施。</w:t>
      </w:r>
      <w:r w:rsidR="006666D8" w:rsidRPr="003814E2">
        <w:rPr>
          <w:rFonts w:ascii="仿宋" w:eastAsia="仿宋" w:hAnsi="仿宋" w:cs="华文楷体" w:hint="eastAsia"/>
          <w:color w:val="000000"/>
          <w:kern w:val="0"/>
          <w:sz w:val="28"/>
          <w:szCs w:val="28"/>
        </w:rPr>
        <w:t>该标准</w:t>
      </w:r>
      <w:r w:rsidRPr="003814E2">
        <w:rPr>
          <w:rFonts w:ascii="仿宋" w:eastAsia="仿宋" w:hAnsi="仿宋" w:cs="华文楷体" w:hint="eastAsia"/>
          <w:color w:val="000000"/>
          <w:kern w:val="0"/>
          <w:sz w:val="28"/>
          <w:szCs w:val="28"/>
        </w:rPr>
        <w:t>在执行过程中的具体</w:t>
      </w:r>
      <w:r w:rsidR="006666D8" w:rsidRPr="003814E2">
        <w:rPr>
          <w:rFonts w:ascii="仿宋" w:eastAsia="仿宋" w:hAnsi="仿宋" w:cs="华文楷体" w:hint="eastAsia"/>
          <w:color w:val="000000"/>
          <w:kern w:val="0"/>
          <w:sz w:val="28"/>
          <w:szCs w:val="28"/>
        </w:rPr>
        <w:t>反馈</w:t>
      </w:r>
      <w:r w:rsidRPr="003814E2">
        <w:rPr>
          <w:rFonts w:ascii="仿宋" w:eastAsia="仿宋" w:hAnsi="仿宋" w:cs="华文楷体" w:hint="eastAsia"/>
          <w:color w:val="000000"/>
          <w:kern w:val="0"/>
          <w:sz w:val="28"/>
          <w:szCs w:val="28"/>
        </w:rPr>
        <w:t>形式是每个季度的风险管理分析报告。</w:t>
      </w:r>
    </w:p>
    <w:p w14:paraId="0644313D" w14:textId="77777777" w:rsidR="000C1F5A" w:rsidRPr="003814E2" w:rsidRDefault="003D5261"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泓信</w:t>
      </w:r>
      <w:r w:rsidR="00756DBE">
        <w:rPr>
          <w:rFonts w:ascii="仿宋" w:eastAsia="仿宋" w:hAnsi="仿宋" w:cs="华文楷体" w:hint="eastAsia"/>
          <w:color w:val="000000"/>
          <w:kern w:val="0"/>
          <w:sz w:val="28"/>
          <w:szCs w:val="28"/>
        </w:rPr>
        <w:t>资本</w:t>
      </w:r>
      <w:r w:rsidR="000C1F5A" w:rsidRPr="003814E2">
        <w:rPr>
          <w:rFonts w:ascii="仿宋" w:eastAsia="仿宋" w:hAnsi="仿宋" w:cs="华文楷体" w:hint="eastAsia"/>
          <w:color w:val="000000"/>
          <w:kern w:val="0"/>
          <w:sz w:val="28"/>
          <w:szCs w:val="28"/>
        </w:rPr>
        <w:t>股权投资五级分类风险管理</w:t>
      </w:r>
      <w:r w:rsidR="006666D8" w:rsidRPr="003814E2">
        <w:rPr>
          <w:rFonts w:ascii="仿宋" w:eastAsia="仿宋" w:hAnsi="仿宋" w:cs="华文楷体" w:hint="eastAsia"/>
          <w:color w:val="000000"/>
          <w:kern w:val="0"/>
          <w:sz w:val="28"/>
          <w:szCs w:val="28"/>
        </w:rPr>
        <w:t>标准</w:t>
      </w:r>
      <w:r w:rsidR="000C1F5A" w:rsidRPr="003814E2">
        <w:rPr>
          <w:rFonts w:ascii="仿宋" w:eastAsia="仿宋" w:hAnsi="仿宋" w:cs="华文楷体" w:hint="eastAsia"/>
          <w:color w:val="000000"/>
          <w:kern w:val="0"/>
          <w:sz w:val="28"/>
          <w:szCs w:val="28"/>
        </w:rPr>
        <w:t>如下所述：</w:t>
      </w:r>
    </w:p>
    <w:tbl>
      <w:tblPr>
        <w:tblW w:w="5000" w:type="pct"/>
        <w:tblLook w:val="04A0" w:firstRow="1" w:lastRow="0" w:firstColumn="1" w:lastColumn="0" w:noHBand="0" w:noVBand="1"/>
      </w:tblPr>
      <w:tblGrid>
        <w:gridCol w:w="856"/>
        <w:gridCol w:w="916"/>
        <w:gridCol w:w="3262"/>
        <w:gridCol w:w="3262"/>
      </w:tblGrid>
      <w:tr w:rsidR="006666D8" w:rsidRPr="003814E2" w14:paraId="39B30E62" w14:textId="77777777" w:rsidTr="006666D8">
        <w:trPr>
          <w:trHeight w:val="375"/>
        </w:trPr>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1B187" w14:textId="77777777" w:rsidR="006666D8" w:rsidRPr="003814E2" w:rsidRDefault="006666D8" w:rsidP="006666D8">
            <w:pPr>
              <w:widowControl/>
              <w:jc w:val="center"/>
              <w:rPr>
                <w:rFonts w:ascii="仿宋" w:eastAsia="仿宋" w:hAnsi="仿宋" w:cs="宋体"/>
                <w:b/>
                <w:color w:val="000000"/>
                <w:kern w:val="0"/>
                <w:sz w:val="28"/>
                <w:szCs w:val="28"/>
              </w:rPr>
            </w:pPr>
            <w:r w:rsidRPr="003814E2">
              <w:rPr>
                <w:rFonts w:ascii="仿宋" w:eastAsia="仿宋" w:hAnsi="仿宋" w:cs="宋体" w:hint="eastAsia"/>
                <w:b/>
                <w:color w:val="000000"/>
                <w:kern w:val="0"/>
                <w:sz w:val="28"/>
                <w:szCs w:val="28"/>
              </w:rPr>
              <w:t xml:space="preserve">级别 </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14:paraId="04A43CA6" w14:textId="77777777" w:rsidR="006666D8" w:rsidRPr="003814E2" w:rsidRDefault="006666D8" w:rsidP="006666D8">
            <w:pPr>
              <w:widowControl/>
              <w:jc w:val="center"/>
              <w:rPr>
                <w:rFonts w:ascii="仿宋" w:eastAsia="仿宋" w:hAnsi="仿宋" w:cs="宋体"/>
                <w:b/>
                <w:color w:val="000000"/>
                <w:kern w:val="0"/>
                <w:sz w:val="28"/>
                <w:szCs w:val="28"/>
              </w:rPr>
            </w:pPr>
            <w:r w:rsidRPr="003814E2">
              <w:rPr>
                <w:rFonts w:ascii="仿宋" w:eastAsia="仿宋" w:hAnsi="仿宋" w:cs="宋体" w:hint="eastAsia"/>
                <w:b/>
                <w:color w:val="000000"/>
                <w:kern w:val="0"/>
                <w:sz w:val="28"/>
                <w:szCs w:val="28"/>
              </w:rPr>
              <w:t xml:space="preserve">性质 </w:t>
            </w:r>
          </w:p>
        </w:tc>
        <w:tc>
          <w:tcPr>
            <w:tcW w:w="1975" w:type="pct"/>
            <w:tcBorders>
              <w:top w:val="single" w:sz="4" w:space="0" w:color="auto"/>
              <w:left w:val="nil"/>
              <w:bottom w:val="single" w:sz="4" w:space="0" w:color="auto"/>
              <w:right w:val="single" w:sz="4" w:space="0" w:color="auto"/>
            </w:tcBorders>
            <w:shd w:val="clear" w:color="auto" w:fill="auto"/>
            <w:noWrap/>
            <w:vAlign w:val="center"/>
            <w:hideMark/>
          </w:tcPr>
          <w:p w14:paraId="2BB74D0D" w14:textId="77777777" w:rsidR="006666D8" w:rsidRPr="003814E2" w:rsidRDefault="006666D8" w:rsidP="006666D8">
            <w:pPr>
              <w:widowControl/>
              <w:jc w:val="center"/>
              <w:rPr>
                <w:rFonts w:ascii="仿宋" w:eastAsia="仿宋" w:hAnsi="仿宋" w:cs="宋体"/>
                <w:b/>
                <w:color w:val="000000"/>
                <w:kern w:val="0"/>
                <w:sz w:val="28"/>
                <w:szCs w:val="28"/>
              </w:rPr>
            </w:pPr>
            <w:r w:rsidRPr="003814E2">
              <w:rPr>
                <w:rFonts w:ascii="仿宋" w:eastAsia="仿宋" w:hAnsi="仿宋" w:cs="宋体" w:hint="eastAsia"/>
                <w:b/>
                <w:color w:val="000000"/>
                <w:kern w:val="0"/>
                <w:sz w:val="28"/>
                <w:szCs w:val="28"/>
              </w:rPr>
              <w:t>主要特征</w:t>
            </w:r>
          </w:p>
        </w:tc>
        <w:tc>
          <w:tcPr>
            <w:tcW w:w="1975" w:type="pct"/>
            <w:tcBorders>
              <w:top w:val="single" w:sz="4" w:space="0" w:color="auto"/>
              <w:left w:val="nil"/>
              <w:bottom w:val="single" w:sz="4" w:space="0" w:color="auto"/>
              <w:right w:val="single" w:sz="4" w:space="0" w:color="auto"/>
            </w:tcBorders>
            <w:shd w:val="clear" w:color="auto" w:fill="auto"/>
            <w:noWrap/>
            <w:vAlign w:val="center"/>
            <w:hideMark/>
          </w:tcPr>
          <w:p w14:paraId="3213B928" w14:textId="77777777" w:rsidR="006666D8" w:rsidRPr="003814E2" w:rsidRDefault="006666D8" w:rsidP="006666D8">
            <w:pPr>
              <w:widowControl/>
              <w:jc w:val="center"/>
              <w:rPr>
                <w:rFonts w:ascii="仿宋" w:eastAsia="仿宋" w:hAnsi="仿宋" w:cs="宋体"/>
                <w:b/>
                <w:color w:val="000000"/>
                <w:kern w:val="0"/>
                <w:sz w:val="28"/>
                <w:szCs w:val="28"/>
              </w:rPr>
            </w:pPr>
            <w:r w:rsidRPr="003814E2">
              <w:rPr>
                <w:rFonts w:ascii="仿宋" w:eastAsia="仿宋" w:hAnsi="仿宋" w:cs="宋体" w:hint="eastAsia"/>
                <w:b/>
                <w:color w:val="000000"/>
                <w:kern w:val="0"/>
                <w:sz w:val="28"/>
                <w:szCs w:val="28"/>
              </w:rPr>
              <w:t xml:space="preserve"> 风险管理措施</w:t>
            </w:r>
          </w:p>
        </w:tc>
      </w:tr>
      <w:tr w:rsidR="006666D8" w:rsidRPr="003814E2" w14:paraId="0B4458F7" w14:textId="77777777" w:rsidTr="006666D8">
        <w:trPr>
          <w:trHeight w:val="1875"/>
        </w:trPr>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253B9571"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lastRenderedPageBreak/>
              <w:t>1</w:t>
            </w:r>
          </w:p>
        </w:tc>
        <w:tc>
          <w:tcPr>
            <w:tcW w:w="525" w:type="pct"/>
            <w:tcBorders>
              <w:top w:val="nil"/>
              <w:left w:val="nil"/>
              <w:bottom w:val="single" w:sz="4" w:space="0" w:color="auto"/>
              <w:right w:val="single" w:sz="4" w:space="0" w:color="auto"/>
            </w:tcBorders>
            <w:shd w:val="clear" w:color="auto" w:fill="auto"/>
            <w:noWrap/>
            <w:vAlign w:val="center"/>
            <w:hideMark/>
          </w:tcPr>
          <w:p w14:paraId="79E0C4F2"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优秀</w:t>
            </w:r>
          </w:p>
        </w:tc>
        <w:tc>
          <w:tcPr>
            <w:tcW w:w="1975" w:type="pct"/>
            <w:tcBorders>
              <w:top w:val="nil"/>
              <w:left w:val="nil"/>
              <w:bottom w:val="single" w:sz="4" w:space="0" w:color="auto"/>
              <w:right w:val="single" w:sz="4" w:space="0" w:color="auto"/>
            </w:tcBorders>
            <w:shd w:val="clear" w:color="auto" w:fill="auto"/>
            <w:vAlign w:val="center"/>
            <w:hideMark/>
          </w:tcPr>
          <w:p w14:paraId="3EF08142"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持续现金分红，股权具有流动性，投资成本已经部分回收，行业和企业基本面无明显不利变化趋势，持有价值大于或等于预期回报</w:t>
            </w:r>
          </w:p>
        </w:tc>
        <w:tc>
          <w:tcPr>
            <w:tcW w:w="1975" w:type="pct"/>
            <w:tcBorders>
              <w:top w:val="nil"/>
              <w:left w:val="nil"/>
              <w:bottom w:val="single" w:sz="4" w:space="0" w:color="auto"/>
              <w:right w:val="single" w:sz="4" w:space="0" w:color="auto"/>
            </w:tcBorders>
            <w:shd w:val="clear" w:color="auto" w:fill="auto"/>
            <w:vAlign w:val="center"/>
            <w:hideMark/>
          </w:tcPr>
          <w:p w14:paraId="2B9B98DE"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出售或投机性持有，寻求最佳变现机会</w:t>
            </w:r>
          </w:p>
        </w:tc>
      </w:tr>
      <w:tr w:rsidR="006666D8" w:rsidRPr="003814E2" w14:paraId="564872A4" w14:textId="77777777" w:rsidTr="006666D8">
        <w:trPr>
          <w:trHeight w:val="1125"/>
        </w:trPr>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5815A6D0"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2</w:t>
            </w:r>
          </w:p>
        </w:tc>
        <w:tc>
          <w:tcPr>
            <w:tcW w:w="525" w:type="pct"/>
            <w:tcBorders>
              <w:top w:val="nil"/>
              <w:left w:val="nil"/>
              <w:bottom w:val="single" w:sz="4" w:space="0" w:color="auto"/>
              <w:right w:val="single" w:sz="4" w:space="0" w:color="auto"/>
            </w:tcBorders>
            <w:shd w:val="clear" w:color="auto" w:fill="auto"/>
            <w:noWrap/>
            <w:vAlign w:val="center"/>
            <w:hideMark/>
          </w:tcPr>
          <w:p w14:paraId="51AD6469"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良好</w:t>
            </w:r>
          </w:p>
        </w:tc>
        <w:tc>
          <w:tcPr>
            <w:tcW w:w="1975" w:type="pct"/>
            <w:tcBorders>
              <w:top w:val="nil"/>
              <w:left w:val="nil"/>
              <w:bottom w:val="single" w:sz="4" w:space="0" w:color="auto"/>
              <w:right w:val="single" w:sz="4" w:space="0" w:color="auto"/>
            </w:tcBorders>
            <w:shd w:val="clear" w:color="auto" w:fill="auto"/>
            <w:vAlign w:val="center"/>
            <w:hideMark/>
          </w:tcPr>
          <w:p w14:paraId="03F1EABD"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股权尚未获得流动性，行业和企业的基本面无不良变化趋势</w:t>
            </w:r>
          </w:p>
        </w:tc>
        <w:tc>
          <w:tcPr>
            <w:tcW w:w="1975" w:type="pct"/>
            <w:tcBorders>
              <w:top w:val="nil"/>
              <w:left w:val="nil"/>
              <w:bottom w:val="single" w:sz="4" w:space="0" w:color="auto"/>
              <w:right w:val="single" w:sz="4" w:space="0" w:color="auto"/>
            </w:tcBorders>
            <w:shd w:val="clear" w:color="auto" w:fill="auto"/>
            <w:vAlign w:val="center"/>
            <w:hideMark/>
          </w:tcPr>
          <w:p w14:paraId="72C6F8EC"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积极配合企业实现业务发展目标，促进企业上市，或探寻其他获得流动性的机会</w:t>
            </w:r>
          </w:p>
        </w:tc>
      </w:tr>
      <w:tr w:rsidR="006666D8" w:rsidRPr="003814E2" w14:paraId="233ABBAE" w14:textId="77777777" w:rsidTr="006666D8">
        <w:trPr>
          <w:trHeight w:val="1500"/>
        </w:trPr>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3462CFA0"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3</w:t>
            </w:r>
          </w:p>
        </w:tc>
        <w:tc>
          <w:tcPr>
            <w:tcW w:w="525" w:type="pct"/>
            <w:tcBorders>
              <w:top w:val="nil"/>
              <w:left w:val="nil"/>
              <w:bottom w:val="single" w:sz="4" w:space="0" w:color="auto"/>
              <w:right w:val="single" w:sz="4" w:space="0" w:color="auto"/>
            </w:tcBorders>
            <w:shd w:val="clear" w:color="auto" w:fill="auto"/>
            <w:noWrap/>
            <w:vAlign w:val="center"/>
            <w:hideMark/>
          </w:tcPr>
          <w:p w14:paraId="4DC402FE"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关注</w:t>
            </w:r>
          </w:p>
        </w:tc>
        <w:tc>
          <w:tcPr>
            <w:tcW w:w="1975" w:type="pct"/>
            <w:tcBorders>
              <w:top w:val="nil"/>
              <w:left w:val="nil"/>
              <w:bottom w:val="single" w:sz="4" w:space="0" w:color="auto"/>
              <w:right w:val="single" w:sz="4" w:space="0" w:color="auto"/>
            </w:tcBorders>
            <w:shd w:val="clear" w:color="auto" w:fill="auto"/>
            <w:vAlign w:val="center"/>
            <w:hideMark/>
          </w:tcPr>
          <w:p w14:paraId="73B3AA41"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无论股权是否已获得流动性，行业或企业基本面发生了不利变化，并在当期会明显影响经营结果</w:t>
            </w:r>
          </w:p>
        </w:tc>
        <w:tc>
          <w:tcPr>
            <w:tcW w:w="1975" w:type="pct"/>
            <w:tcBorders>
              <w:top w:val="nil"/>
              <w:left w:val="nil"/>
              <w:bottom w:val="single" w:sz="4" w:space="0" w:color="auto"/>
              <w:right w:val="single" w:sz="4" w:space="0" w:color="auto"/>
            </w:tcBorders>
            <w:shd w:val="clear" w:color="auto" w:fill="auto"/>
            <w:vAlign w:val="center"/>
            <w:hideMark/>
          </w:tcPr>
          <w:p w14:paraId="4E97739A"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积极与大股东及管理层研究对策，投入必要的资源和采取必要的措施来控制不利局面的进一步发展；</w:t>
            </w:r>
          </w:p>
        </w:tc>
      </w:tr>
      <w:tr w:rsidR="006666D8" w:rsidRPr="003814E2" w14:paraId="05D6FA7C" w14:textId="77777777" w:rsidTr="006666D8">
        <w:trPr>
          <w:trHeight w:val="1500"/>
        </w:trPr>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1F3EC8CC"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4</w:t>
            </w:r>
          </w:p>
        </w:tc>
        <w:tc>
          <w:tcPr>
            <w:tcW w:w="525" w:type="pct"/>
            <w:tcBorders>
              <w:top w:val="nil"/>
              <w:left w:val="nil"/>
              <w:bottom w:val="single" w:sz="4" w:space="0" w:color="auto"/>
              <w:right w:val="single" w:sz="4" w:space="0" w:color="auto"/>
            </w:tcBorders>
            <w:shd w:val="clear" w:color="auto" w:fill="auto"/>
            <w:noWrap/>
            <w:vAlign w:val="center"/>
            <w:hideMark/>
          </w:tcPr>
          <w:p w14:paraId="46A9F1A2"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 xml:space="preserve"> 预警</w:t>
            </w:r>
          </w:p>
        </w:tc>
        <w:tc>
          <w:tcPr>
            <w:tcW w:w="1975" w:type="pct"/>
            <w:tcBorders>
              <w:top w:val="nil"/>
              <w:left w:val="nil"/>
              <w:bottom w:val="single" w:sz="4" w:space="0" w:color="auto"/>
              <w:right w:val="single" w:sz="4" w:space="0" w:color="auto"/>
            </w:tcBorders>
            <w:shd w:val="clear" w:color="auto" w:fill="auto"/>
            <w:vAlign w:val="center"/>
            <w:hideMark/>
          </w:tcPr>
          <w:p w14:paraId="00A79E2F"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上述不利趋势已成为不利结果，公司业绩受到影响，但仍有可能扭转业绩受到影响，但仍有可能扭转</w:t>
            </w:r>
          </w:p>
        </w:tc>
        <w:tc>
          <w:tcPr>
            <w:tcW w:w="1975" w:type="pct"/>
            <w:tcBorders>
              <w:top w:val="nil"/>
              <w:left w:val="nil"/>
              <w:bottom w:val="single" w:sz="4" w:space="0" w:color="auto"/>
              <w:right w:val="single" w:sz="4" w:space="0" w:color="auto"/>
            </w:tcBorders>
            <w:shd w:val="clear" w:color="auto" w:fill="auto"/>
            <w:vAlign w:val="center"/>
            <w:hideMark/>
          </w:tcPr>
          <w:p w14:paraId="396C2BBE"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除上述3 的措施以外，每月与大股东和管理层交流，监控公司运行情况</w:t>
            </w:r>
          </w:p>
        </w:tc>
      </w:tr>
      <w:tr w:rsidR="006666D8" w:rsidRPr="003814E2" w14:paraId="1C3EF060" w14:textId="77777777" w:rsidTr="006666D8">
        <w:trPr>
          <w:trHeight w:val="750"/>
        </w:trPr>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2354198D"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lastRenderedPageBreak/>
              <w:t>5</w:t>
            </w:r>
          </w:p>
        </w:tc>
        <w:tc>
          <w:tcPr>
            <w:tcW w:w="525" w:type="pct"/>
            <w:tcBorders>
              <w:top w:val="nil"/>
              <w:left w:val="nil"/>
              <w:bottom w:val="single" w:sz="4" w:space="0" w:color="auto"/>
              <w:right w:val="single" w:sz="4" w:space="0" w:color="auto"/>
            </w:tcBorders>
            <w:shd w:val="clear" w:color="auto" w:fill="auto"/>
            <w:noWrap/>
            <w:vAlign w:val="center"/>
            <w:hideMark/>
          </w:tcPr>
          <w:p w14:paraId="6C64FA08" w14:textId="77777777" w:rsidR="006666D8" w:rsidRPr="003814E2" w:rsidRDefault="006666D8" w:rsidP="006666D8">
            <w:pPr>
              <w:widowControl/>
              <w:spacing w:line="240" w:lineRule="atLeast"/>
              <w:jc w:val="center"/>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损失</w:t>
            </w:r>
          </w:p>
        </w:tc>
        <w:tc>
          <w:tcPr>
            <w:tcW w:w="1975" w:type="pct"/>
            <w:tcBorders>
              <w:top w:val="nil"/>
              <w:left w:val="nil"/>
              <w:bottom w:val="single" w:sz="4" w:space="0" w:color="auto"/>
              <w:right w:val="single" w:sz="4" w:space="0" w:color="auto"/>
            </w:tcBorders>
            <w:shd w:val="clear" w:color="auto" w:fill="auto"/>
            <w:vAlign w:val="center"/>
            <w:hideMark/>
          </w:tcPr>
          <w:p w14:paraId="78D8ED81"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上述问题的程度持续发展，部分损失已不可逆转</w:t>
            </w:r>
          </w:p>
        </w:tc>
        <w:tc>
          <w:tcPr>
            <w:tcW w:w="1975" w:type="pct"/>
            <w:tcBorders>
              <w:top w:val="nil"/>
              <w:left w:val="nil"/>
              <w:bottom w:val="single" w:sz="4" w:space="0" w:color="auto"/>
              <w:right w:val="single" w:sz="4" w:space="0" w:color="auto"/>
            </w:tcBorders>
            <w:shd w:val="clear" w:color="auto" w:fill="auto"/>
            <w:vAlign w:val="center"/>
            <w:hideMark/>
          </w:tcPr>
          <w:p w14:paraId="351C5D95" w14:textId="77777777" w:rsidR="006666D8" w:rsidRPr="003814E2" w:rsidRDefault="006666D8" w:rsidP="006666D8">
            <w:pPr>
              <w:widowControl/>
              <w:spacing w:line="240" w:lineRule="atLeast"/>
              <w:jc w:val="left"/>
              <w:rPr>
                <w:rFonts w:ascii="仿宋" w:eastAsia="仿宋" w:hAnsi="仿宋" w:cs="宋体"/>
                <w:color w:val="000000"/>
                <w:kern w:val="0"/>
                <w:sz w:val="28"/>
                <w:szCs w:val="28"/>
              </w:rPr>
            </w:pPr>
            <w:r w:rsidRPr="003814E2">
              <w:rPr>
                <w:rFonts w:ascii="仿宋" w:eastAsia="仿宋" w:hAnsi="仿宋" w:cs="宋体" w:hint="eastAsia"/>
                <w:color w:val="000000"/>
                <w:kern w:val="0"/>
                <w:sz w:val="28"/>
                <w:szCs w:val="28"/>
              </w:rPr>
              <w:t>除上述4 的措施外，计提减值准备</w:t>
            </w:r>
          </w:p>
        </w:tc>
      </w:tr>
    </w:tbl>
    <w:p w14:paraId="35986526" w14:textId="77777777" w:rsidR="000C1F5A" w:rsidRPr="00007B66" w:rsidRDefault="000C1F5A" w:rsidP="00977609">
      <w:pPr>
        <w:autoSpaceDE w:val="0"/>
        <w:autoSpaceDN w:val="0"/>
        <w:adjustRightInd w:val="0"/>
        <w:ind w:firstLineChars="200" w:firstLine="562"/>
        <w:jc w:val="left"/>
        <w:rPr>
          <w:rFonts w:ascii="黑体" w:eastAsia="黑体" w:hAnsi="黑体" w:cs="华文楷体"/>
          <w:b/>
          <w:color w:val="000000"/>
          <w:kern w:val="0"/>
          <w:sz w:val="28"/>
          <w:szCs w:val="28"/>
        </w:rPr>
      </w:pPr>
      <w:r w:rsidRPr="00007B66">
        <w:rPr>
          <w:rFonts w:ascii="黑体" w:eastAsia="黑体" w:hAnsi="黑体" w:cs="华文楷体" w:hint="eastAsia"/>
          <w:b/>
          <w:color w:val="000000"/>
          <w:kern w:val="0"/>
          <w:sz w:val="28"/>
          <w:szCs w:val="28"/>
        </w:rPr>
        <w:t>第三节</w:t>
      </w:r>
      <w:r w:rsidR="00977609" w:rsidRPr="00007B66">
        <w:rPr>
          <w:rFonts w:ascii="黑体" w:eastAsia="黑体" w:hAnsi="黑体" w:cs="华文楷体" w:hint="eastAsia"/>
          <w:b/>
          <w:color w:val="000000"/>
          <w:kern w:val="0"/>
          <w:sz w:val="28"/>
          <w:szCs w:val="28"/>
        </w:rPr>
        <w:t xml:space="preserve">  </w:t>
      </w:r>
      <w:r w:rsidRPr="00007B66">
        <w:rPr>
          <w:rFonts w:ascii="黑体" w:eastAsia="黑体" w:hAnsi="黑体" w:cs="华文楷体" w:hint="eastAsia"/>
          <w:b/>
          <w:color w:val="000000"/>
          <w:kern w:val="0"/>
          <w:sz w:val="28"/>
          <w:szCs w:val="28"/>
        </w:rPr>
        <w:t>环境控制</w:t>
      </w:r>
    </w:p>
    <w:p w14:paraId="326D2737"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第二十三条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环境控制包括授权控制和员工素质控制两个方面。</w:t>
      </w:r>
    </w:p>
    <w:p w14:paraId="20863C9A"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第二十四条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授权控制的主要内容包括：</w:t>
      </w:r>
    </w:p>
    <w:p w14:paraId="58CFAEB2"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公司作为法人实体独立承担民事责任。各项业务和管理程序都应制定操作规程，各业务人员在授权范围内进行工作，各项业务和管理程序遵照公司制定的各项操作规程运行。通常情况下，授权期限不超过一年，对不适用的授权及时修改或取消授权。</w:t>
      </w:r>
    </w:p>
    <w:p w14:paraId="326DB8D5" w14:textId="77777777" w:rsidR="000C1F5A" w:rsidRPr="003814E2" w:rsidRDefault="000C1F5A" w:rsidP="00423B1D">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第二十五条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员工素质控制贯彻在人力资源管理体系的各个环节。公司应当制定连贯、可行的制度和操作流程，涵盖员工招聘、培训、轮岗、考核、晋升、淘汰等环节。同时，公司应当通过有效的员工激励制度，鼓励员工努力提高核心与专业素质，打造个人、团队乃至公司的竞争优势。</w:t>
      </w:r>
    </w:p>
    <w:p w14:paraId="365898DF" w14:textId="77777777" w:rsidR="000C1F5A" w:rsidRPr="00007B66" w:rsidRDefault="000C1F5A" w:rsidP="00977609">
      <w:pPr>
        <w:autoSpaceDE w:val="0"/>
        <w:autoSpaceDN w:val="0"/>
        <w:adjustRightInd w:val="0"/>
        <w:ind w:firstLineChars="200" w:firstLine="562"/>
        <w:jc w:val="left"/>
        <w:rPr>
          <w:rFonts w:ascii="黑体" w:eastAsia="黑体" w:hAnsi="黑体" w:cs="华文楷体"/>
          <w:b/>
          <w:color w:val="000000"/>
          <w:kern w:val="0"/>
          <w:sz w:val="28"/>
          <w:szCs w:val="28"/>
        </w:rPr>
      </w:pPr>
      <w:r w:rsidRPr="00007B66">
        <w:rPr>
          <w:rFonts w:ascii="黑体" w:eastAsia="黑体" w:hAnsi="黑体" w:cs="华文楷体" w:hint="eastAsia"/>
          <w:b/>
          <w:color w:val="000000"/>
          <w:kern w:val="0"/>
          <w:sz w:val="28"/>
          <w:szCs w:val="28"/>
        </w:rPr>
        <w:t>第四节</w:t>
      </w:r>
      <w:r w:rsidR="00977609" w:rsidRPr="00007B66">
        <w:rPr>
          <w:rFonts w:ascii="黑体" w:eastAsia="黑体" w:hAnsi="黑体" w:cs="华文楷体" w:hint="eastAsia"/>
          <w:b/>
          <w:color w:val="000000"/>
          <w:kern w:val="0"/>
          <w:sz w:val="28"/>
          <w:szCs w:val="28"/>
        </w:rPr>
        <w:t xml:space="preserve">  </w:t>
      </w:r>
      <w:r w:rsidRPr="00007B66">
        <w:rPr>
          <w:rFonts w:ascii="黑体" w:eastAsia="黑体" w:hAnsi="黑体" w:cs="华文楷体" w:hint="eastAsia"/>
          <w:b/>
          <w:color w:val="000000"/>
          <w:kern w:val="0"/>
          <w:sz w:val="28"/>
          <w:szCs w:val="28"/>
        </w:rPr>
        <w:t>电子信息系统控制</w:t>
      </w:r>
    </w:p>
    <w:p w14:paraId="7FED8683"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第二十六条</w:t>
      </w:r>
      <w:r w:rsidRPr="00007B66">
        <w:rPr>
          <w:rFonts w:ascii="黑体" w:eastAsia="黑体" w:hAnsi="黑体" w:cs="华文楷体"/>
          <w:b/>
          <w:color w:val="000000"/>
          <w:kern w:val="0"/>
          <w:sz w:val="28"/>
          <w:szCs w:val="28"/>
        </w:rPr>
        <w:t xml:space="preserve"> </w:t>
      </w:r>
      <w:r w:rsidRPr="003814E2">
        <w:rPr>
          <w:rFonts w:ascii="仿宋" w:eastAsia="仿宋" w:hAnsi="仿宋" w:cs="华文楷体" w:hint="eastAsia"/>
          <w:color w:val="000000"/>
          <w:kern w:val="0"/>
          <w:sz w:val="28"/>
          <w:szCs w:val="28"/>
        </w:rPr>
        <w:t>电子信息系统控制主要内容包括：</w:t>
      </w:r>
    </w:p>
    <w:p w14:paraId="564E582F"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根据《中华人民共和国计算机信息系统安全保护条例》、《计算机信息网络国际联网安全保护管理办法》等有关法律、法规，结合公司信息系统的具体情况，制定电子信息系统的管理规章、操作流程、岗位手册和风险控制制度。</w:t>
      </w:r>
    </w:p>
    <w:p w14:paraId="1699E20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w:t>
      </w:r>
      <w:r w:rsidRPr="00AB348C">
        <w:rPr>
          <w:rFonts w:ascii="仿宋" w:eastAsia="仿宋" w:hAnsi="仿宋" w:cs="华文楷体" w:hint="eastAsia"/>
          <w:color w:val="000000"/>
          <w:kern w:val="0"/>
          <w:sz w:val="28"/>
          <w:szCs w:val="28"/>
        </w:rPr>
        <w:t>公司设</w:t>
      </w:r>
      <w:r w:rsidRPr="00AB348C">
        <w:rPr>
          <w:rFonts w:ascii="仿宋" w:eastAsia="仿宋" w:hAnsi="仿宋" w:cs="华文楷体"/>
          <w:color w:val="000000"/>
          <w:kern w:val="0"/>
          <w:sz w:val="28"/>
          <w:szCs w:val="28"/>
        </w:rPr>
        <w:t xml:space="preserve">IT </w:t>
      </w:r>
      <w:r w:rsidRPr="00AB348C">
        <w:rPr>
          <w:rFonts w:ascii="仿宋" w:eastAsia="仿宋" w:hAnsi="仿宋" w:cs="华文楷体" w:hint="eastAsia"/>
          <w:color w:val="000000"/>
          <w:kern w:val="0"/>
          <w:sz w:val="28"/>
          <w:szCs w:val="28"/>
        </w:rPr>
        <w:t>主管</w:t>
      </w:r>
      <w:r w:rsidRPr="003814E2">
        <w:rPr>
          <w:rFonts w:ascii="仿宋" w:eastAsia="仿宋" w:hAnsi="仿宋" w:cs="华文楷体" w:hint="eastAsia"/>
          <w:color w:val="000000"/>
          <w:kern w:val="0"/>
          <w:sz w:val="28"/>
          <w:szCs w:val="28"/>
        </w:rPr>
        <w:t>，负责电子信息系统的日常维护工作。口</w:t>
      </w:r>
      <w:r w:rsidRPr="003814E2">
        <w:rPr>
          <w:rFonts w:ascii="仿宋" w:eastAsia="仿宋" w:hAnsi="仿宋" w:cs="华文楷体" w:hint="eastAsia"/>
          <w:color w:val="000000"/>
          <w:kern w:val="0"/>
          <w:sz w:val="28"/>
          <w:szCs w:val="28"/>
        </w:rPr>
        <w:lastRenderedPageBreak/>
        <w:t>令必须由专人掌握，并定期更换。信息系统使用人员应有互不相同的用户名，定期更换操作口令，严禁操作人员泄露自己的操作口令。</w:t>
      </w:r>
    </w:p>
    <w:p w14:paraId="288045E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建立和完善技术监管系统，定期对数据备份情况进行核查，确保业务数据的一致性和连续性。离岗人员必须严格办理离岗手续，明确其离岗后的保密义务，退还全部技术资料。同时其负责的信息系统的口令必须立即更换。</w:t>
      </w:r>
    </w:p>
    <w:p w14:paraId="5C05E32A"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（四）</w:t>
      </w:r>
      <w:r w:rsidRPr="003814E2">
        <w:rPr>
          <w:rFonts w:ascii="仿宋" w:eastAsia="仿宋" w:hAnsi="仿宋" w:cs="华文楷体"/>
          <w:color w:val="000000"/>
          <w:kern w:val="0"/>
          <w:sz w:val="28"/>
          <w:szCs w:val="28"/>
        </w:rPr>
        <w:t xml:space="preserve">IT </w:t>
      </w:r>
      <w:r w:rsidRPr="003814E2">
        <w:rPr>
          <w:rFonts w:ascii="仿宋" w:eastAsia="仿宋" w:hAnsi="仿宋" w:cs="华文楷体" w:hint="eastAsia"/>
          <w:color w:val="000000"/>
          <w:kern w:val="0"/>
          <w:sz w:val="28"/>
          <w:szCs w:val="28"/>
        </w:rPr>
        <w:t>主管负责计算机病毒防范工作，配置经国家认可的计算机病毒检测、清除工具，定期进行病毒检测。</w:t>
      </w:r>
    </w:p>
    <w:p w14:paraId="68E8A9F5" w14:textId="77777777" w:rsidR="000C1F5A" w:rsidRPr="00007B66" w:rsidRDefault="000C1F5A" w:rsidP="00977609">
      <w:pPr>
        <w:autoSpaceDE w:val="0"/>
        <w:autoSpaceDN w:val="0"/>
        <w:adjustRightInd w:val="0"/>
        <w:ind w:firstLineChars="200" w:firstLine="562"/>
        <w:jc w:val="left"/>
        <w:rPr>
          <w:rFonts w:ascii="黑体" w:eastAsia="黑体" w:hAnsi="黑体" w:cs="华文楷体"/>
          <w:b/>
          <w:color w:val="000000"/>
          <w:kern w:val="0"/>
          <w:sz w:val="28"/>
          <w:szCs w:val="28"/>
        </w:rPr>
      </w:pPr>
      <w:r w:rsidRPr="00007B66">
        <w:rPr>
          <w:rFonts w:ascii="黑体" w:eastAsia="黑体" w:hAnsi="黑体" w:cs="华文楷体" w:hint="eastAsia"/>
          <w:b/>
          <w:color w:val="000000"/>
          <w:kern w:val="0"/>
          <w:sz w:val="28"/>
          <w:szCs w:val="28"/>
        </w:rPr>
        <w:t>第五节</w:t>
      </w:r>
      <w:r w:rsidR="00977609" w:rsidRPr="00007B66">
        <w:rPr>
          <w:rFonts w:ascii="黑体" w:eastAsia="黑体" w:hAnsi="黑体" w:cs="华文楷体" w:hint="eastAsia"/>
          <w:b/>
          <w:color w:val="000000"/>
          <w:kern w:val="0"/>
          <w:sz w:val="28"/>
          <w:szCs w:val="28"/>
        </w:rPr>
        <w:t xml:space="preserve">  </w:t>
      </w:r>
      <w:r w:rsidRPr="00007B66">
        <w:rPr>
          <w:rFonts w:ascii="黑体" w:eastAsia="黑体" w:hAnsi="黑体" w:cs="华文楷体" w:hint="eastAsia"/>
          <w:b/>
          <w:color w:val="000000"/>
          <w:kern w:val="0"/>
          <w:sz w:val="28"/>
          <w:szCs w:val="28"/>
        </w:rPr>
        <w:t>信息传递控制</w:t>
      </w:r>
    </w:p>
    <w:p w14:paraId="40CD04D4"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第二十七条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信息传递控制主要内容包括：</w:t>
      </w:r>
    </w:p>
    <w:p w14:paraId="143F1747"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w:t>
      </w:r>
      <w:r w:rsidR="00756DBE">
        <w:rPr>
          <w:rFonts w:ascii="仿宋" w:eastAsia="仿宋" w:hAnsi="仿宋" w:cs="华文楷体" w:hint="eastAsia"/>
          <w:color w:val="000000"/>
          <w:kern w:val="0"/>
          <w:sz w:val="28"/>
          <w:szCs w:val="28"/>
        </w:rPr>
        <w:t>风险管理</w:t>
      </w:r>
      <w:r w:rsidRPr="003814E2">
        <w:rPr>
          <w:rFonts w:ascii="仿宋" w:eastAsia="仿宋" w:hAnsi="仿宋" w:cs="华文楷体" w:hint="eastAsia"/>
          <w:color w:val="000000"/>
          <w:kern w:val="0"/>
          <w:sz w:val="28"/>
          <w:szCs w:val="28"/>
        </w:rPr>
        <w:t>部和</w:t>
      </w:r>
      <w:r w:rsidR="003F60D4">
        <w:rPr>
          <w:rFonts w:ascii="仿宋" w:eastAsia="仿宋" w:hAnsi="仿宋" w:cs="华文楷体" w:hint="eastAsia"/>
          <w:color w:val="000000"/>
          <w:kern w:val="0"/>
          <w:sz w:val="28"/>
          <w:szCs w:val="28"/>
        </w:rPr>
        <w:t>运营管理</w:t>
      </w:r>
      <w:r w:rsidRPr="003814E2">
        <w:rPr>
          <w:rFonts w:ascii="仿宋" w:eastAsia="仿宋" w:hAnsi="仿宋" w:cs="华文楷体" w:hint="eastAsia"/>
          <w:color w:val="000000"/>
          <w:kern w:val="0"/>
          <w:sz w:val="28"/>
          <w:szCs w:val="28"/>
        </w:rPr>
        <w:t>部负责公司内部信息收集和处理，下设档案管理员负责业务信息的收集、再整理、存档工作。</w:t>
      </w:r>
    </w:p>
    <w:p w14:paraId="536CC599"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（二）各部门主要领导作为业务信息资源的负责人，负责本单位信息报送的组织和审核工作。各部门指定专门信息员作为业务信息的责任人，负责本部门的信息收集和报送工作。</w:t>
      </w:r>
    </w:p>
    <w:p w14:paraId="0EE57160"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w:t>
      </w:r>
      <w:r w:rsidR="00756DBE">
        <w:rPr>
          <w:rFonts w:ascii="仿宋" w:eastAsia="仿宋" w:hAnsi="仿宋" w:cs="华文楷体" w:hint="eastAsia"/>
          <w:color w:val="000000"/>
          <w:kern w:val="0"/>
          <w:sz w:val="28"/>
          <w:szCs w:val="28"/>
        </w:rPr>
        <w:t>风险</w:t>
      </w:r>
      <w:r w:rsidRPr="003814E2">
        <w:rPr>
          <w:rFonts w:ascii="仿宋" w:eastAsia="仿宋" w:hAnsi="仿宋" w:cs="华文楷体" w:hint="eastAsia"/>
          <w:color w:val="000000"/>
          <w:kern w:val="0"/>
          <w:sz w:val="28"/>
          <w:szCs w:val="28"/>
        </w:rPr>
        <w:t>管理部统一负责公司对外公开信息披露，统一办理公司应公开披露信息的公告、披露和监管部门备案工作。公司其他部门和人员不得擅自以公司名义向外披露公司信息。</w:t>
      </w:r>
    </w:p>
    <w:p w14:paraId="133B2DD8"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（四）为保证信息披露的及时、准确，公司业务部门应当在信息披露前及时与</w:t>
      </w:r>
      <w:r w:rsidR="00756DBE">
        <w:rPr>
          <w:rFonts w:ascii="仿宋" w:eastAsia="仿宋" w:hAnsi="仿宋" w:cs="华文楷体" w:hint="eastAsia"/>
          <w:color w:val="000000"/>
          <w:kern w:val="0"/>
          <w:sz w:val="28"/>
          <w:szCs w:val="28"/>
        </w:rPr>
        <w:t>风险管理部</w:t>
      </w:r>
      <w:r w:rsidRPr="003814E2">
        <w:rPr>
          <w:rFonts w:ascii="仿宋" w:eastAsia="仿宋" w:hAnsi="仿宋" w:cs="华文楷体" w:hint="eastAsia"/>
          <w:color w:val="000000"/>
          <w:kern w:val="0"/>
          <w:sz w:val="28"/>
          <w:szCs w:val="28"/>
        </w:rPr>
        <w:t>沟通反馈日常经营情况。由</w:t>
      </w:r>
      <w:r w:rsidR="00756DBE">
        <w:rPr>
          <w:rFonts w:ascii="仿宋" w:eastAsia="仿宋" w:hAnsi="仿宋" w:cs="华文楷体" w:hint="eastAsia"/>
          <w:color w:val="000000"/>
          <w:kern w:val="0"/>
          <w:sz w:val="28"/>
          <w:szCs w:val="28"/>
        </w:rPr>
        <w:t>风险管理部</w:t>
      </w:r>
      <w:r w:rsidRPr="003814E2">
        <w:rPr>
          <w:rFonts w:ascii="仿宋" w:eastAsia="仿宋" w:hAnsi="仿宋" w:cs="华文楷体" w:hint="eastAsia"/>
          <w:color w:val="000000"/>
          <w:kern w:val="0"/>
          <w:sz w:val="28"/>
          <w:szCs w:val="28"/>
        </w:rPr>
        <w:t>根据相关法律、法规决定需要具体披露事宜。</w:t>
      </w:r>
    </w:p>
    <w:p w14:paraId="605A7343"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lastRenderedPageBreak/>
        <w:t>（五）所有内部知情人在信息公开披露之前负有保守秘密的义务。</w:t>
      </w:r>
    </w:p>
    <w:p w14:paraId="0904A93C" w14:textId="77777777" w:rsidR="000C1F5A" w:rsidRPr="00831D72" w:rsidRDefault="000C1F5A" w:rsidP="00831D72">
      <w:pPr>
        <w:autoSpaceDE w:val="0"/>
        <w:autoSpaceDN w:val="0"/>
        <w:adjustRightInd w:val="0"/>
        <w:ind w:firstLineChars="200" w:firstLine="562"/>
        <w:jc w:val="center"/>
        <w:rPr>
          <w:rFonts w:ascii="黑体" w:eastAsia="黑体" w:hAnsi="黑体" w:cs="华文楷体"/>
          <w:b/>
          <w:color w:val="000000"/>
          <w:kern w:val="0"/>
          <w:sz w:val="28"/>
          <w:szCs w:val="28"/>
        </w:rPr>
      </w:pPr>
      <w:r w:rsidRPr="00831D72">
        <w:rPr>
          <w:rFonts w:ascii="黑体" w:eastAsia="黑体" w:hAnsi="黑体" w:cs="华文楷体" w:hint="eastAsia"/>
          <w:b/>
          <w:color w:val="000000"/>
          <w:kern w:val="0"/>
          <w:sz w:val="28"/>
          <w:szCs w:val="28"/>
        </w:rPr>
        <w:t>第四章</w:t>
      </w:r>
      <w:r w:rsidR="00977609" w:rsidRPr="00831D72">
        <w:rPr>
          <w:rFonts w:ascii="黑体" w:eastAsia="黑体" w:hAnsi="黑体" w:cs="华文楷体" w:hint="eastAsia"/>
          <w:b/>
          <w:color w:val="000000"/>
          <w:kern w:val="0"/>
          <w:sz w:val="28"/>
          <w:szCs w:val="28"/>
        </w:rPr>
        <w:t xml:space="preserve">  </w:t>
      </w:r>
      <w:r w:rsidRPr="00831D72">
        <w:rPr>
          <w:rFonts w:ascii="黑体" w:eastAsia="黑体" w:hAnsi="黑体" w:cs="华文楷体" w:hint="eastAsia"/>
          <w:b/>
          <w:color w:val="000000"/>
          <w:kern w:val="0"/>
          <w:sz w:val="28"/>
          <w:szCs w:val="28"/>
        </w:rPr>
        <w:t>内部控制效果的检查和评估</w:t>
      </w:r>
    </w:p>
    <w:p w14:paraId="12DD18C0"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第二十八条</w:t>
      </w:r>
      <w:r w:rsidRPr="003814E2">
        <w:rPr>
          <w:rFonts w:ascii="仿宋" w:eastAsia="仿宋" w:hAnsi="仿宋" w:cs="华文楷体"/>
          <w:color w:val="000000"/>
          <w:kern w:val="0"/>
          <w:sz w:val="28"/>
          <w:szCs w:val="28"/>
        </w:rPr>
        <w:t xml:space="preserve"> </w:t>
      </w:r>
      <w:r w:rsidR="003D5261" w:rsidRPr="003814E2">
        <w:rPr>
          <w:rFonts w:ascii="仿宋" w:eastAsia="仿宋" w:hAnsi="仿宋" w:cs="华文楷体" w:hint="eastAsia"/>
          <w:color w:val="000000"/>
          <w:kern w:val="0"/>
          <w:sz w:val="28"/>
          <w:szCs w:val="28"/>
        </w:rPr>
        <w:t>董事会</w:t>
      </w:r>
      <w:r w:rsidRPr="003814E2">
        <w:rPr>
          <w:rFonts w:ascii="仿宋" w:eastAsia="仿宋" w:hAnsi="仿宋" w:cs="华文楷体" w:hint="eastAsia"/>
          <w:color w:val="000000"/>
          <w:kern w:val="0"/>
          <w:sz w:val="28"/>
          <w:szCs w:val="28"/>
        </w:rPr>
        <w:t>负责督促、检查和评价公司各项内部控制制度的建立与执行情况，对内部控制的有效性负最终责任；</w:t>
      </w:r>
      <w:r w:rsidR="003D5261" w:rsidRPr="003814E2">
        <w:rPr>
          <w:rFonts w:ascii="仿宋" w:eastAsia="仿宋" w:hAnsi="仿宋" w:cs="华文楷体" w:hint="eastAsia"/>
          <w:color w:val="000000"/>
          <w:kern w:val="0"/>
          <w:sz w:val="28"/>
          <w:szCs w:val="28"/>
        </w:rPr>
        <w:t>董事会</w:t>
      </w:r>
      <w:r w:rsidRPr="003814E2">
        <w:rPr>
          <w:rFonts w:ascii="仿宋" w:eastAsia="仿宋" w:hAnsi="仿宋" w:cs="华文楷体" w:hint="eastAsia"/>
          <w:color w:val="000000"/>
          <w:kern w:val="0"/>
          <w:sz w:val="28"/>
          <w:szCs w:val="28"/>
        </w:rPr>
        <w:t>应对监管部门、外部审计机构等对公司内部控制提出的问题和建议认真研究并督促落实。</w:t>
      </w:r>
    </w:p>
    <w:p w14:paraId="470B28D5" w14:textId="77777777" w:rsidR="000C1F5A" w:rsidRPr="003814E2" w:rsidRDefault="000C1F5A" w:rsidP="00977609">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第二十九条</w:t>
      </w:r>
      <w:r w:rsidRPr="003814E2">
        <w:rPr>
          <w:rFonts w:ascii="仿宋" w:eastAsia="仿宋" w:hAnsi="仿宋" w:cs="华文楷体"/>
          <w:color w:val="000000"/>
          <w:kern w:val="0"/>
          <w:sz w:val="28"/>
          <w:szCs w:val="28"/>
        </w:rPr>
        <w:t xml:space="preserve"> </w:t>
      </w:r>
      <w:r w:rsidR="00756DBE">
        <w:rPr>
          <w:rFonts w:ascii="仿宋" w:eastAsia="仿宋" w:hAnsi="仿宋" w:cs="华文楷体" w:hint="eastAsia"/>
          <w:color w:val="000000"/>
          <w:kern w:val="0"/>
          <w:sz w:val="28"/>
          <w:szCs w:val="28"/>
        </w:rPr>
        <w:t>风险管理部</w:t>
      </w:r>
      <w:r w:rsidRPr="003814E2">
        <w:rPr>
          <w:rFonts w:ascii="仿宋" w:eastAsia="仿宋" w:hAnsi="仿宋" w:cs="华文楷体" w:hint="eastAsia"/>
          <w:color w:val="000000"/>
          <w:kern w:val="0"/>
          <w:sz w:val="28"/>
          <w:szCs w:val="28"/>
        </w:rPr>
        <w:t>应从以下几个方面，对公司总体内部控制的有效性进行评估：</w:t>
      </w:r>
    </w:p>
    <w:p w14:paraId="122A5E3B" w14:textId="77777777" w:rsidR="000C1F5A" w:rsidRPr="003814E2" w:rsidRDefault="000C1F5A" w:rsidP="006666D8">
      <w:pPr>
        <w:ind w:firstLineChars="200" w:firstLine="560"/>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（一）控制环境–指影响内部控制效果的各种综合因素。控制环境是其他控制要素发挥作用的基础，直接影响到内部控制的贯彻执行及内部控制目标的实现。主要包括：</w:t>
      </w:r>
      <w:r w:rsidR="001D124F" w:rsidRPr="003814E2">
        <w:rPr>
          <w:rFonts w:ascii="仿宋" w:eastAsia="仿宋" w:hAnsi="仿宋" w:cs="华文楷体" w:hint="eastAsia"/>
          <w:color w:val="000000"/>
          <w:kern w:val="0"/>
          <w:sz w:val="28"/>
          <w:szCs w:val="28"/>
        </w:rPr>
        <w:t>董事会的结构</w:t>
      </w:r>
      <w:r w:rsidRPr="003814E2">
        <w:rPr>
          <w:rFonts w:ascii="仿宋" w:eastAsia="仿宋" w:hAnsi="仿宋" w:cs="华文楷体" w:hint="eastAsia"/>
          <w:color w:val="000000"/>
          <w:kern w:val="0"/>
          <w:sz w:val="28"/>
          <w:szCs w:val="28"/>
        </w:rPr>
        <w:t>；管理层的职业道德、诚信及能力；管理层的管理哲学及经营风格；聘雇、培训、管理员工及划分员工权责的方式；信息沟通体系等。</w:t>
      </w:r>
      <w:r w:rsidR="00423B1D" w:rsidRPr="003814E2">
        <w:rPr>
          <w:rFonts w:ascii="仿宋" w:eastAsia="仿宋" w:hAnsi="仿宋" w:cs="华文楷体" w:hint="eastAsia"/>
          <w:color w:val="000000"/>
          <w:kern w:val="0"/>
          <w:sz w:val="28"/>
          <w:szCs w:val="28"/>
        </w:rPr>
        <w:t xml:space="preserve">  </w:t>
      </w:r>
    </w:p>
    <w:p w14:paraId="7E6DB1A8"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（二）风险评估–指公司对可能导致内部控制目标无法实现的内、外部因素进行评估，以确认这些因素的影响程度及发生的可能性，其评估结果可协助公司制定必要的内部控制制度。</w:t>
      </w:r>
    </w:p>
    <w:p w14:paraId="51456B06"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（三）控制活动–指协助管理层确保其指令已被执行的政策或程序，主要包括核准、验证、调节、复核、定期盘点、记录核对、职能分工、保障资产安全及与计划、预算、与前期效果的比较等内容。</w:t>
      </w:r>
    </w:p>
    <w:p w14:paraId="6F279BB8"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（四）信息及沟通–内部控制必须能产生规划、监督等所需的</w:t>
      </w:r>
      <w:r w:rsidRPr="003814E2">
        <w:rPr>
          <w:rFonts w:ascii="仿宋" w:eastAsia="仿宋" w:hAnsi="仿宋" w:cs="华文楷体" w:hint="eastAsia"/>
          <w:color w:val="000000"/>
          <w:kern w:val="0"/>
          <w:sz w:val="28"/>
          <w:szCs w:val="28"/>
        </w:rPr>
        <w:lastRenderedPageBreak/>
        <w:t>信息并使信息需求者能适时取得相关信息，主要包括与内部控制目标有关的财务及非财务信息在公司内部的传递及向外传递。</w:t>
      </w:r>
    </w:p>
    <w:p w14:paraId="5D8DDA2D" w14:textId="77777777" w:rsidR="000C1F5A" w:rsidRPr="003814E2" w:rsidRDefault="000C1F5A" w:rsidP="000C1F5A">
      <w:pPr>
        <w:autoSpaceDE w:val="0"/>
        <w:autoSpaceDN w:val="0"/>
        <w:adjustRightInd w:val="0"/>
        <w:ind w:firstLineChars="200" w:firstLine="560"/>
        <w:jc w:val="left"/>
        <w:rPr>
          <w:rFonts w:ascii="仿宋" w:eastAsia="仿宋" w:hAnsi="仿宋" w:cs="华文楷体"/>
          <w:color w:val="000000"/>
          <w:kern w:val="0"/>
          <w:sz w:val="28"/>
          <w:szCs w:val="28"/>
        </w:rPr>
      </w:pPr>
      <w:r w:rsidRPr="003814E2">
        <w:rPr>
          <w:rFonts w:ascii="仿宋" w:eastAsia="仿宋" w:hAnsi="仿宋" w:cs="华文楷体" w:hint="eastAsia"/>
          <w:color w:val="000000"/>
          <w:kern w:val="0"/>
          <w:sz w:val="28"/>
          <w:szCs w:val="28"/>
        </w:rPr>
        <w:t>（五）监督–指对内部控制的效果进行评估的过程，包括评估控制环境是否良好，风险评估是否及时、准确，内部控制活动是否适当、确实，信息及沟通系统是否良好顺畅等。监督可分为持续性监督及专项监督，持续性监督是经营过程中的例行监督，包括管理层的日常管理与监督，员工履行其职务时所采取的监督等；专项监督是由公司内部相关人员或外部相关机构就某一特定目标进行的监督。</w:t>
      </w:r>
    </w:p>
    <w:p w14:paraId="25F7E5C3" w14:textId="77777777" w:rsidR="000C1F5A" w:rsidRPr="003814E2" w:rsidRDefault="000C1F5A" w:rsidP="004D7D70">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第三十条</w:t>
      </w:r>
      <w:r w:rsidRPr="003814E2">
        <w:rPr>
          <w:rFonts w:ascii="仿宋" w:eastAsia="仿宋" w:hAnsi="仿宋" w:cs="华文楷体"/>
          <w:color w:val="000000"/>
          <w:kern w:val="0"/>
          <w:sz w:val="28"/>
          <w:szCs w:val="28"/>
        </w:rPr>
        <w:t xml:space="preserve"> </w:t>
      </w:r>
      <w:r w:rsidRPr="003814E2">
        <w:rPr>
          <w:rFonts w:ascii="仿宋" w:eastAsia="仿宋" w:hAnsi="仿宋" w:cs="华文楷体" w:hint="eastAsia"/>
          <w:color w:val="000000"/>
          <w:kern w:val="0"/>
          <w:sz w:val="28"/>
          <w:szCs w:val="28"/>
        </w:rPr>
        <w:t>本制度的制定、修改、废止经</w:t>
      </w:r>
      <w:r w:rsidR="003D5261" w:rsidRPr="003814E2">
        <w:rPr>
          <w:rFonts w:ascii="仿宋" w:eastAsia="仿宋" w:hAnsi="仿宋" w:cs="华文楷体" w:hint="eastAsia"/>
          <w:color w:val="000000"/>
          <w:kern w:val="0"/>
          <w:sz w:val="28"/>
          <w:szCs w:val="28"/>
        </w:rPr>
        <w:t>董事会</w:t>
      </w:r>
      <w:r w:rsidR="004D7D70" w:rsidRPr="003814E2">
        <w:rPr>
          <w:rFonts w:ascii="仿宋" w:eastAsia="仿宋" w:hAnsi="仿宋" w:cs="华文楷体" w:hint="eastAsia"/>
          <w:color w:val="000000"/>
          <w:kern w:val="0"/>
          <w:sz w:val="28"/>
          <w:szCs w:val="28"/>
        </w:rPr>
        <w:t>批准后生效，由</w:t>
      </w:r>
      <w:r w:rsidR="003D5261" w:rsidRPr="003814E2">
        <w:rPr>
          <w:rFonts w:ascii="仿宋" w:eastAsia="仿宋" w:hAnsi="仿宋" w:cs="华文楷体" w:hint="eastAsia"/>
          <w:color w:val="000000"/>
          <w:kern w:val="0"/>
          <w:sz w:val="28"/>
          <w:szCs w:val="28"/>
        </w:rPr>
        <w:t>董事会</w:t>
      </w:r>
      <w:r w:rsidRPr="003814E2">
        <w:rPr>
          <w:rFonts w:ascii="仿宋" w:eastAsia="仿宋" w:hAnsi="仿宋" w:cs="华文楷体" w:hint="eastAsia"/>
          <w:color w:val="000000"/>
          <w:kern w:val="0"/>
          <w:sz w:val="28"/>
          <w:szCs w:val="28"/>
        </w:rPr>
        <w:t>负责解释。</w:t>
      </w:r>
    </w:p>
    <w:p w14:paraId="32363585" w14:textId="77777777" w:rsidR="000C1F5A" w:rsidRPr="000C1F5A" w:rsidRDefault="000C1F5A" w:rsidP="00FC3300">
      <w:pPr>
        <w:autoSpaceDE w:val="0"/>
        <w:autoSpaceDN w:val="0"/>
        <w:adjustRightInd w:val="0"/>
        <w:ind w:firstLineChars="200" w:firstLine="562"/>
        <w:jc w:val="left"/>
        <w:rPr>
          <w:rFonts w:ascii="仿宋" w:eastAsia="仿宋" w:hAnsi="仿宋" w:cs="华文楷体"/>
          <w:color w:val="000000"/>
          <w:kern w:val="0"/>
          <w:sz w:val="28"/>
          <w:szCs w:val="28"/>
        </w:rPr>
      </w:pPr>
      <w:r w:rsidRPr="00007B66">
        <w:rPr>
          <w:rFonts w:ascii="黑体" w:eastAsia="黑体" w:hAnsi="黑体" w:cs="华文楷体" w:hint="eastAsia"/>
          <w:b/>
          <w:color w:val="000000"/>
          <w:kern w:val="0"/>
          <w:sz w:val="28"/>
          <w:szCs w:val="28"/>
        </w:rPr>
        <w:t>第三十一条</w:t>
      </w:r>
      <w:r w:rsidRPr="003814E2">
        <w:rPr>
          <w:rFonts w:ascii="仿宋" w:eastAsia="仿宋" w:hAnsi="仿宋" w:cs="华文楷体"/>
          <w:b/>
          <w:color w:val="000000"/>
          <w:kern w:val="0"/>
          <w:sz w:val="28"/>
          <w:szCs w:val="28"/>
        </w:rPr>
        <w:t xml:space="preserve"> </w:t>
      </w:r>
      <w:r w:rsidRPr="003814E2">
        <w:rPr>
          <w:rFonts w:ascii="仿宋" w:eastAsia="仿宋" w:hAnsi="仿宋" w:cs="华文楷体" w:hint="eastAsia"/>
          <w:color w:val="000000"/>
          <w:kern w:val="0"/>
          <w:sz w:val="28"/>
          <w:szCs w:val="28"/>
        </w:rPr>
        <w:t>本制度自批准之日起生效执行。</w:t>
      </w:r>
    </w:p>
    <w:sectPr w:rsidR="000C1F5A" w:rsidRPr="000C1F5A" w:rsidSect="003E4E5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3F617" w14:textId="77777777" w:rsidR="00F07D74" w:rsidRDefault="00F07D74" w:rsidP="004D7D70">
      <w:r>
        <w:separator/>
      </w:r>
    </w:p>
  </w:endnote>
  <w:endnote w:type="continuationSeparator" w:id="0">
    <w:p w14:paraId="5FA07B97" w14:textId="77777777" w:rsidR="00F07D74" w:rsidRDefault="00F07D74" w:rsidP="004D7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67E41" w14:textId="77777777" w:rsidR="00F07D74" w:rsidRDefault="00F07D74" w:rsidP="004D7D70">
      <w:r>
        <w:separator/>
      </w:r>
    </w:p>
  </w:footnote>
  <w:footnote w:type="continuationSeparator" w:id="0">
    <w:p w14:paraId="16D72107" w14:textId="77777777" w:rsidR="00F07D74" w:rsidRDefault="00F07D74" w:rsidP="004D7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CCC5D" w14:textId="77777777" w:rsidR="00FC3300" w:rsidRDefault="00FC3300" w:rsidP="00FC3300">
    <w:pPr>
      <w:pStyle w:val="a3"/>
      <w:jc w:val="both"/>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F5A"/>
    <w:rsid w:val="00007B66"/>
    <w:rsid w:val="000B3C18"/>
    <w:rsid w:val="000C1F5A"/>
    <w:rsid w:val="001D124F"/>
    <w:rsid w:val="00316DEF"/>
    <w:rsid w:val="00381058"/>
    <w:rsid w:val="003814E2"/>
    <w:rsid w:val="003D5261"/>
    <w:rsid w:val="003E4E56"/>
    <w:rsid w:val="003F60D4"/>
    <w:rsid w:val="00423B1D"/>
    <w:rsid w:val="004D7D70"/>
    <w:rsid w:val="005816A8"/>
    <w:rsid w:val="005B4AE7"/>
    <w:rsid w:val="006666D8"/>
    <w:rsid w:val="006C3720"/>
    <w:rsid w:val="006D662D"/>
    <w:rsid w:val="00756DBE"/>
    <w:rsid w:val="007A6166"/>
    <w:rsid w:val="00831D72"/>
    <w:rsid w:val="008827B9"/>
    <w:rsid w:val="008D6047"/>
    <w:rsid w:val="00910354"/>
    <w:rsid w:val="009705E9"/>
    <w:rsid w:val="00977609"/>
    <w:rsid w:val="009C289B"/>
    <w:rsid w:val="00A041AA"/>
    <w:rsid w:val="00A6498E"/>
    <w:rsid w:val="00AB348C"/>
    <w:rsid w:val="00BA6E21"/>
    <w:rsid w:val="00BB6A17"/>
    <w:rsid w:val="00CA5872"/>
    <w:rsid w:val="00D57A99"/>
    <w:rsid w:val="00D766FC"/>
    <w:rsid w:val="00DA5740"/>
    <w:rsid w:val="00EC6289"/>
    <w:rsid w:val="00ED50DF"/>
    <w:rsid w:val="00F07D74"/>
    <w:rsid w:val="00F57BB0"/>
    <w:rsid w:val="00F659AC"/>
    <w:rsid w:val="00F80B87"/>
    <w:rsid w:val="00FB0C90"/>
    <w:rsid w:val="00FC3300"/>
    <w:rsid w:val="00FD2C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D72EB"/>
  <w15:docId w15:val="{4DE1E2C5-344D-4AC0-8356-578DF5C6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7D7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D7D70"/>
    <w:rPr>
      <w:sz w:val="18"/>
      <w:szCs w:val="18"/>
    </w:rPr>
  </w:style>
  <w:style w:type="paragraph" w:styleId="a5">
    <w:name w:val="footer"/>
    <w:basedOn w:val="a"/>
    <w:link w:val="a6"/>
    <w:uiPriority w:val="99"/>
    <w:unhideWhenUsed/>
    <w:rsid w:val="004D7D70"/>
    <w:pPr>
      <w:tabs>
        <w:tab w:val="center" w:pos="4153"/>
        <w:tab w:val="right" w:pos="8306"/>
      </w:tabs>
      <w:snapToGrid w:val="0"/>
      <w:jc w:val="left"/>
    </w:pPr>
    <w:rPr>
      <w:sz w:val="18"/>
      <w:szCs w:val="18"/>
    </w:rPr>
  </w:style>
  <w:style w:type="character" w:customStyle="1" w:styleId="a6">
    <w:name w:val="页脚 字符"/>
    <w:basedOn w:val="a0"/>
    <w:link w:val="a5"/>
    <w:uiPriority w:val="99"/>
    <w:rsid w:val="004D7D70"/>
    <w:rPr>
      <w:sz w:val="18"/>
      <w:szCs w:val="18"/>
    </w:rPr>
  </w:style>
  <w:style w:type="paragraph" w:styleId="a7">
    <w:name w:val="Balloon Text"/>
    <w:basedOn w:val="a"/>
    <w:link w:val="a8"/>
    <w:uiPriority w:val="99"/>
    <w:semiHidden/>
    <w:unhideWhenUsed/>
    <w:rsid w:val="003D5261"/>
    <w:rPr>
      <w:sz w:val="18"/>
      <w:szCs w:val="18"/>
    </w:rPr>
  </w:style>
  <w:style w:type="character" w:customStyle="1" w:styleId="a8">
    <w:name w:val="批注框文本 字符"/>
    <w:basedOn w:val="a0"/>
    <w:link w:val="a7"/>
    <w:uiPriority w:val="99"/>
    <w:semiHidden/>
    <w:rsid w:val="003D5261"/>
    <w:rPr>
      <w:sz w:val="18"/>
      <w:szCs w:val="18"/>
    </w:rPr>
  </w:style>
  <w:style w:type="character" w:styleId="a9">
    <w:name w:val="annotation reference"/>
    <w:basedOn w:val="a0"/>
    <w:uiPriority w:val="99"/>
    <w:semiHidden/>
    <w:unhideWhenUsed/>
    <w:rsid w:val="00A6498E"/>
    <w:rPr>
      <w:sz w:val="21"/>
      <w:szCs w:val="21"/>
    </w:rPr>
  </w:style>
  <w:style w:type="paragraph" w:styleId="aa">
    <w:name w:val="annotation text"/>
    <w:basedOn w:val="a"/>
    <w:link w:val="ab"/>
    <w:uiPriority w:val="99"/>
    <w:semiHidden/>
    <w:unhideWhenUsed/>
    <w:rsid w:val="00A6498E"/>
    <w:pPr>
      <w:jc w:val="left"/>
    </w:pPr>
  </w:style>
  <w:style w:type="character" w:customStyle="1" w:styleId="ab">
    <w:name w:val="批注文字 字符"/>
    <w:basedOn w:val="a0"/>
    <w:link w:val="aa"/>
    <w:uiPriority w:val="99"/>
    <w:semiHidden/>
    <w:rsid w:val="00A6498E"/>
  </w:style>
  <w:style w:type="paragraph" w:styleId="ac">
    <w:name w:val="annotation subject"/>
    <w:basedOn w:val="aa"/>
    <w:next w:val="aa"/>
    <w:link w:val="ad"/>
    <w:uiPriority w:val="99"/>
    <w:semiHidden/>
    <w:unhideWhenUsed/>
    <w:rsid w:val="00A6498E"/>
    <w:rPr>
      <w:b/>
      <w:bCs/>
    </w:rPr>
  </w:style>
  <w:style w:type="character" w:customStyle="1" w:styleId="ad">
    <w:name w:val="批注主题 字符"/>
    <w:basedOn w:val="ab"/>
    <w:link w:val="ac"/>
    <w:uiPriority w:val="99"/>
    <w:semiHidden/>
    <w:rsid w:val="00A64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892940">
      <w:bodyDiv w:val="1"/>
      <w:marLeft w:val="0"/>
      <w:marRight w:val="0"/>
      <w:marTop w:val="0"/>
      <w:marBottom w:val="0"/>
      <w:divBdr>
        <w:top w:val="none" w:sz="0" w:space="0" w:color="auto"/>
        <w:left w:val="none" w:sz="0" w:space="0" w:color="auto"/>
        <w:bottom w:val="none" w:sz="0" w:space="0" w:color="auto"/>
        <w:right w:val="none" w:sz="0" w:space="0" w:color="auto"/>
      </w:divBdr>
      <w:divsChild>
        <w:div w:id="264197574">
          <w:marLeft w:val="0"/>
          <w:marRight w:val="0"/>
          <w:marTop w:val="0"/>
          <w:marBottom w:val="0"/>
          <w:divBdr>
            <w:top w:val="none" w:sz="0" w:space="0" w:color="auto"/>
            <w:left w:val="none" w:sz="0" w:space="0" w:color="auto"/>
            <w:bottom w:val="none" w:sz="0" w:space="0" w:color="auto"/>
            <w:right w:val="none" w:sz="0" w:space="0" w:color="auto"/>
          </w:divBdr>
        </w:div>
      </w:divsChild>
    </w:div>
    <w:div w:id="76037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775</Words>
  <Characters>4418</Characters>
  <Application>Microsoft Office Word</Application>
  <DocSecurity>0</DocSecurity>
  <Lines>36</Lines>
  <Paragraphs>10</Paragraphs>
  <ScaleCrop>false</ScaleCrop>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彭彦</dc:creator>
  <cp:lastModifiedBy>冯展鹏</cp:lastModifiedBy>
  <cp:revision>15</cp:revision>
  <dcterms:created xsi:type="dcterms:W3CDTF">2015-03-12T07:07:00Z</dcterms:created>
  <dcterms:modified xsi:type="dcterms:W3CDTF">2017-05-03T01:08:00Z</dcterms:modified>
</cp:coreProperties>
</file>