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60" w:lineRule="exact"/>
        <w:jc w:val="left"/>
        <w:rPr>
          <w:rFonts w:hint="eastAsia" w:ascii="Times New Roman" w:hAnsi="Times New Roman" w:eastAsia="仿宋" w:cs="Times New Roman"/>
          <w:kern w:val="2"/>
          <w:sz w:val="32"/>
          <w:szCs w:val="32"/>
          <w:lang w:val="en-US" w:eastAsia="zh-CN" w:bidi="ar-SA"/>
        </w:rPr>
      </w:pPr>
      <w:r>
        <w:rPr>
          <w:rFonts w:hint="default" w:ascii="Times New Roman" w:hAnsi="Times New Roman" w:eastAsia="仿宋" w:cs="Times New Roman"/>
          <w:b/>
          <w:bCs/>
          <w:kern w:val="2"/>
          <w:sz w:val="28"/>
          <w:szCs w:val="28"/>
          <w:lang w:val="en-US" w:eastAsia="zh-CN" w:bidi="ar-SA"/>
        </w:rPr>
        <w:t>“诚实守信 做受尊敬的上市公司”投资者保护专项行动</w:t>
      </w:r>
      <w:r>
        <w:rPr>
          <w:rFonts w:hint="eastAsia" w:ascii="Times New Roman" w:hAnsi="Times New Roman" w:eastAsia="仿宋" w:cs="Times New Roman"/>
          <w:b/>
          <w:bCs/>
          <w:kern w:val="2"/>
          <w:sz w:val="28"/>
          <w:szCs w:val="28"/>
          <w:lang w:val="en-US" w:eastAsia="zh-CN" w:bidi="ar-SA"/>
        </w:rPr>
        <w:t>系列宣传文章</w:t>
      </w:r>
    </w:p>
    <w:p>
      <w:pPr>
        <w:spacing w:after="156" w:afterLines="50" w:line="560" w:lineRule="exact"/>
        <w:jc w:val="left"/>
        <w:rPr>
          <w:rFonts w:hint="eastAsia" w:ascii="Times New Roman" w:hAnsi="Times New Roman" w:eastAsia="仿宋" w:cs="Times New Roman"/>
          <w:kern w:val="2"/>
          <w:sz w:val="32"/>
          <w:szCs w:val="32"/>
          <w:lang w:val="en-US" w:eastAsia="zh-CN" w:bidi="ar-SA"/>
        </w:rPr>
      </w:pPr>
    </w:p>
    <w:p>
      <w:pPr>
        <w:jc w:val="center"/>
        <w:rPr>
          <w:rFonts w:ascii="黑体" w:hAnsi="黑体" w:eastAsia="黑体"/>
          <w:color w:val="FF0000"/>
          <w:sz w:val="36"/>
          <w:szCs w:val="36"/>
        </w:rPr>
      </w:pPr>
      <w:bookmarkStart w:id="0" w:name="_GoBack"/>
      <w:bookmarkEnd w:id="0"/>
      <w:r>
        <w:rPr>
          <w:rFonts w:hint="eastAsia" w:ascii="黑体" w:hAnsi="黑体" w:eastAsia="黑体"/>
          <w:color w:val="FF0000"/>
          <w:sz w:val="36"/>
          <w:szCs w:val="36"/>
        </w:rPr>
        <w:t>东方风来满眼春</w:t>
      </w:r>
      <w:r>
        <w:rPr>
          <w:rFonts w:ascii="黑体" w:hAnsi="黑体" w:eastAsia="黑体"/>
          <w:color w:val="FF0000"/>
          <w:sz w:val="36"/>
          <w:szCs w:val="36"/>
        </w:rPr>
        <w:t>,山河万里起宏图</w:t>
      </w:r>
    </w:p>
    <w:p>
      <w:pPr>
        <w:jc w:val="center"/>
        <w:rPr>
          <w:rFonts w:ascii="黑体" w:hAnsi="黑体" w:eastAsia="黑体"/>
          <w:color w:val="FF0000"/>
          <w:sz w:val="36"/>
          <w:szCs w:val="36"/>
        </w:rPr>
      </w:pPr>
      <w:r>
        <w:rPr>
          <w:rFonts w:hint="eastAsia" w:ascii="黑体" w:hAnsi="黑体" w:eastAsia="黑体"/>
          <w:color w:val="FF0000"/>
          <w:sz w:val="36"/>
          <w:szCs w:val="36"/>
        </w:rPr>
        <w:t>——东方明珠践行新证券法、加强投资者保护工作</w:t>
      </w:r>
    </w:p>
    <w:p/>
    <w:p/>
    <w:p>
      <w:pPr>
        <w:spacing w:line="520" w:lineRule="exact"/>
        <w:ind w:firstLine="560" w:firstLineChars="200"/>
        <w:rPr>
          <w:rFonts w:ascii="宋体" w:hAnsi="宋体" w:eastAsia="宋体"/>
          <w:sz w:val="28"/>
          <w:szCs w:val="28"/>
        </w:rPr>
      </w:pPr>
      <w:r>
        <w:rPr>
          <w:rFonts w:hint="eastAsia" w:ascii="宋体" w:hAnsi="宋体" w:eastAsia="宋体"/>
          <w:sz w:val="28"/>
          <w:szCs w:val="28"/>
        </w:rPr>
        <w:t>随着新《证券法》颁布，并于2020年3月1日起正式实施，</w:t>
      </w:r>
      <w:r>
        <w:rPr>
          <w:rFonts w:ascii="宋体" w:hAnsi="宋体" w:eastAsia="宋体"/>
          <w:sz w:val="28"/>
          <w:szCs w:val="28"/>
        </w:rPr>
        <w:t>标志着我国资本市场在市场化、法治化的道路上又迈出至关重要的一步。修法完成后，保障资本市场健康、高效运行的法制基础将进一步夯实，市场生态也将产生深刻变化。</w:t>
      </w:r>
    </w:p>
    <w:p>
      <w:pPr>
        <w:spacing w:line="520" w:lineRule="exact"/>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019</w:t>
      </w:r>
      <w:r>
        <w:rPr>
          <w:rFonts w:hint="eastAsia" w:ascii="宋体" w:hAnsi="宋体" w:eastAsia="宋体"/>
          <w:sz w:val="28"/>
          <w:szCs w:val="28"/>
        </w:rPr>
        <w:t>年底，中国证监会印发的《推动提高上市公司质量行动计划》中强调了“四个结合”：一是企业内生发展与外部促进保障结合，突出上市公司第一责任，丰富外部制度供给；二是优化增量与调整存量结合，把好入口与出口关；三是解决突出问题与构建长效机制结合，立足当下、着眼长远；四是监管本位与协调推进结合，抓好精准监管，强化政策协同，推动形成强大合力。</w:t>
      </w:r>
    </w:p>
    <w:p>
      <w:pPr>
        <w:spacing w:line="520" w:lineRule="exact"/>
        <w:ind w:firstLine="560" w:firstLineChars="200"/>
        <w:rPr>
          <w:rFonts w:ascii="宋体" w:hAnsi="宋体" w:eastAsia="宋体"/>
          <w:sz w:val="28"/>
          <w:szCs w:val="28"/>
        </w:rPr>
      </w:pPr>
      <w:r>
        <w:rPr>
          <w:rFonts w:hint="eastAsia" w:ascii="宋体" w:hAnsi="宋体" w:eastAsia="宋体"/>
          <w:sz w:val="28"/>
          <w:szCs w:val="28"/>
        </w:rPr>
        <w:t>对于上市公司而言，谨记“四个敬畏”、严守“四条底线”，作为提高上市公司质量中肩负着第一责任和主体责任，东方明珠从以下几个方面入手，不断提高自身质量：</w:t>
      </w:r>
    </w:p>
    <w:p>
      <w:pPr>
        <w:spacing w:line="520" w:lineRule="exact"/>
        <w:ind w:firstLine="560" w:firstLineChars="200"/>
        <w:rPr>
          <w:rFonts w:ascii="宋体" w:hAnsi="宋体" w:eastAsia="宋体"/>
          <w:sz w:val="28"/>
          <w:szCs w:val="28"/>
        </w:rPr>
      </w:pPr>
    </w:p>
    <w:p>
      <w:pPr>
        <w:spacing w:line="520" w:lineRule="exact"/>
        <w:ind w:firstLine="562" w:firstLineChars="200"/>
        <w:rPr>
          <w:rFonts w:ascii="宋体" w:hAnsi="宋体" w:eastAsia="宋体"/>
          <w:b/>
          <w:bCs/>
          <w:sz w:val="28"/>
          <w:szCs w:val="28"/>
        </w:rPr>
      </w:pPr>
      <w:r>
        <w:rPr>
          <w:rFonts w:hint="eastAsia" w:ascii="宋体" w:hAnsi="宋体" w:eastAsia="宋体"/>
          <w:b/>
          <w:bCs/>
          <w:sz w:val="28"/>
          <w:szCs w:val="28"/>
        </w:rPr>
        <w:t>一、提高认识，特别是大股东和董监高等关键少数，要树立规范治理的原则立场</w:t>
      </w:r>
    </w:p>
    <w:p>
      <w:pPr>
        <w:spacing w:line="520" w:lineRule="exact"/>
        <w:ind w:firstLine="560" w:firstLineChars="200"/>
        <w:rPr>
          <w:rFonts w:ascii="宋体" w:hAnsi="宋体" w:eastAsia="宋体"/>
          <w:sz w:val="28"/>
          <w:szCs w:val="28"/>
        </w:rPr>
      </w:pPr>
      <w:r>
        <w:rPr>
          <w:rFonts w:hint="eastAsia" w:ascii="宋体" w:hAnsi="宋体" w:eastAsia="宋体"/>
          <w:sz w:val="28"/>
          <w:szCs w:val="28"/>
        </w:rPr>
        <w:t>企业上市成为公众公司，必须要按照资本市场的规则行事，公开透明地经营。易会满主席提出的“敬畏市场、敬畏法治、敬畏专业、敬畏投资者”这四大敬畏，应构成我们上市公司核心的原则和立场。</w:t>
      </w:r>
    </w:p>
    <w:p>
      <w:pPr>
        <w:spacing w:line="520" w:lineRule="exact"/>
        <w:ind w:firstLine="560" w:firstLineChars="200"/>
        <w:rPr>
          <w:rFonts w:ascii="宋体" w:hAnsi="宋体" w:eastAsia="宋体"/>
          <w:sz w:val="28"/>
          <w:szCs w:val="28"/>
        </w:rPr>
      </w:pPr>
      <w:r>
        <w:rPr>
          <w:rFonts w:hint="eastAsia" w:ascii="宋体" w:hAnsi="宋体" w:eastAsia="宋体"/>
          <w:sz w:val="28"/>
          <w:szCs w:val="28"/>
        </w:rPr>
        <w:t>加强公司经营管理层对合规的认识，也是对投资者知情权做到有效地保护。公司董事会办公室收集整理并编写了新《证券法》相关解读材料，呈报公司董事、监事们学习，并在公司总裁办公会议上向公司高管宣读了新《证券法》修订的重要要点，对于涉及到上市公司高管日常履职方面的规则做了重点研读并提示关注。</w:t>
      </w:r>
    </w:p>
    <w:p>
      <w:pPr>
        <w:spacing w:line="520" w:lineRule="exact"/>
        <w:ind w:firstLine="560" w:firstLineChars="200"/>
        <w:rPr>
          <w:rFonts w:ascii="宋体" w:hAnsi="宋体" w:eastAsia="宋体"/>
          <w:sz w:val="28"/>
          <w:szCs w:val="28"/>
        </w:rPr>
      </w:pPr>
      <w:r>
        <w:rPr>
          <w:rFonts w:hint="eastAsia" w:ascii="宋体" w:hAnsi="宋体" w:eastAsia="宋体"/>
          <w:sz w:val="28"/>
          <w:szCs w:val="28"/>
        </w:rPr>
        <w:t>对于短线交易适用对象的范围扩大到了董监高的配偶、父母、子女作了重点解读和提示，对于禁止的交易行为如短线交易、内幕信息交易等反复强调、提示，加强董事、监事及高级管理人员对于相关概念的学习和了解。</w:t>
      </w:r>
    </w:p>
    <w:p>
      <w:pPr>
        <w:spacing w:line="520" w:lineRule="exact"/>
        <w:ind w:firstLine="560" w:firstLineChars="200"/>
        <w:rPr>
          <w:rFonts w:ascii="宋体" w:hAnsi="宋体" w:eastAsia="宋体"/>
          <w:sz w:val="28"/>
          <w:szCs w:val="28"/>
        </w:rPr>
      </w:pPr>
      <w:r>
        <w:rPr>
          <w:rFonts w:hint="eastAsia" w:ascii="宋体" w:hAnsi="宋体" w:eastAsia="宋体"/>
          <w:sz w:val="28"/>
          <w:szCs w:val="28"/>
        </w:rPr>
        <w:t>新《证券法》对于违法违规行为的惩处力度大大加强，也是公司对董监高重点提示的部分。</w:t>
      </w:r>
    </w:p>
    <w:p>
      <w:pPr>
        <w:spacing w:line="520" w:lineRule="exact"/>
        <w:ind w:firstLine="560" w:firstLineChars="200"/>
        <w:rPr>
          <w:rFonts w:ascii="宋体" w:hAnsi="宋体" w:eastAsia="宋体"/>
          <w:sz w:val="28"/>
          <w:szCs w:val="28"/>
        </w:rPr>
      </w:pPr>
      <w:r>
        <w:rPr>
          <w:rFonts w:hint="eastAsia" w:ascii="宋体" w:hAnsi="宋体" w:eastAsia="宋体"/>
          <w:sz w:val="28"/>
          <w:szCs w:val="28"/>
        </w:rPr>
        <w:t>同时，每次定期报告披露前的窗口期，董事会办公室会对公司持股5</w:t>
      </w:r>
      <w:r>
        <w:rPr>
          <w:rFonts w:ascii="宋体" w:hAnsi="宋体" w:eastAsia="宋体"/>
          <w:sz w:val="28"/>
          <w:szCs w:val="28"/>
        </w:rPr>
        <w:t>%</w:t>
      </w:r>
      <w:r>
        <w:rPr>
          <w:rFonts w:hint="eastAsia" w:ascii="宋体" w:hAnsi="宋体" w:eastAsia="宋体"/>
          <w:sz w:val="28"/>
          <w:szCs w:val="28"/>
        </w:rPr>
        <w:t>以上大股东、公司董事、监事、高级管理人员发出《窗口期提示函》，着重强调在窗口期内须遵循的规则，如禁止内幕信息交易、禁止窗口期内买卖公司股票、禁止窗口期内通过各种类型的渠道泄露公司经营情况及主要经营数据信息等。对于离任的董监高也充分提示了离任后半年内其个人所持上市公司股票方可减持。</w:t>
      </w:r>
    </w:p>
    <w:p>
      <w:pPr>
        <w:spacing w:line="520" w:lineRule="exact"/>
        <w:ind w:firstLine="560" w:firstLineChars="200"/>
        <w:rPr>
          <w:rFonts w:ascii="宋体" w:hAnsi="宋体" w:eastAsia="宋体"/>
          <w:sz w:val="28"/>
          <w:szCs w:val="28"/>
        </w:rPr>
      </w:pPr>
    </w:p>
    <w:p>
      <w:pPr>
        <w:spacing w:line="520" w:lineRule="exact"/>
        <w:ind w:firstLine="562" w:firstLineChars="200"/>
        <w:rPr>
          <w:rFonts w:ascii="宋体" w:hAnsi="宋体" w:eastAsia="宋体"/>
          <w:b/>
          <w:bCs/>
          <w:sz w:val="28"/>
          <w:szCs w:val="28"/>
        </w:rPr>
      </w:pPr>
      <w:r>
        <w:rPr>
          <w:rFonts w:hint="eastAsia" w:ascii="宋体" w:hAnsi="宋体" w:eastAsia="宋体"/>
          <w:b/>
          <w:bCs/>
          <w:sz w:val="28"/>
          <w:szCs w:val="28"/>
        </w:rPr>
        <w:t>二、提高上市公司质量，加强上市公司的规范治理</w:t>
      </w:r>
    </w:p>
    <w:p>
      <w:pPr>
        <w:spacing w:line="520" w:lineRule="exact"/>
        <w:ind w:firstLine="560" w:firstLineChars="200"/>
        <w:rPr>
          <w:rFonts w:ascii="宋体" w:hAnsi="宋体" w:eastAsia="宋体"/>
          <w:sz w:val="28"/>
          <w:szCs w:val="28"/>
        </w:rPr>
      </w:pPr>
      <w:r>
        <w:rPr>
          <w:rFonts w:hint="eastAsia" w:ascii="宋体" w:hAnsi="宋体" w:eastAsia="宋体"/>
          <w:sz w:val="28"/>
          <w:szCs w:val="28"/>
        </w:rPr>
        <w:t>上市公司必须自觉遵守监管部门的各种监管规则，合规经营，牢牢守住“不披露虚假信息、不从事内幕交易、不操纵股票价格、不损害上市公司利益”的四条底线，是上市公司相关人员一定要认真学习和遵守的底线。</w:t>
      </w:r>
    </w:p>
    <w:p>
      <w:pPr>
        <w:spacing w:line="520" w:lineRule="exact"/>
        <w:ind w:firstLine="560" w:firstLineChars="200"/>
        <w:rPr>
          <w:rFonts w:ascii="宋体" w:hAnsi="宋体" w:eastAsia="宋体"/>
          <w:sz w:val="28"/>
          <w:szCs w:val="28"/>
        </w:rPr>
      </w:pPr>
      <w:r>
        <w:rPr>
          <w:rFonts w:hint="eastAsia" w:ascii="宋体" w:hAnsi="宋体" w:eastAsia="宋体"/>
          <w:sz w:val="28"/>
          <w:szCs w:val="28"/>
        </w:rPr>
        <w:t>东方明珠严格遵守中国证券监督管理委员会的证券监管规则和上海证券交易所法律法规及行业规范，持续完善公司治理结构，规范公司运营管理流程，建立了由股东大会、董事会、监事会和管理层组成的“三会一层”治理架构，同时形成了激励机制、监督与制衡机制的治理机制。做到了权责明确、各司其职、相互协调、有效制衡、科学决策、规范运作的经营管理架构。</w:t>
      </w:r>
    </w:p>
    <w:p>
      <w:pPr>
        <w:spacing w:line="520" w:lineRule="exact"/>
        <w:ind w:firstLine="560" w:firstLineChars="200"/>
        <w:rPr>
          <w:rFonts w:ascii="宋体" w:hAnsi="宋体" w:eastAsia="宋体"/>
          <w:sz w:val="28"/>
          <w:szCs w:val="28"/>
        </w:rPr>
      </w:pPr>
      <w:r>
        <w:rPr>
          <w:rFonts w:hint="eastAsia" w:ascii="宋体" w:hAnsi="宋体" w:eastAsia="宋体"/>
          <w:sz w:val="28"/>
          <w:szCs w:val="28"/>
        </w:rPr>
        <w:t>公司全面加强制度建设，全年出台、修订多项制度，涵盖行政、财务、人力、投资、技术、内容、安全和法务等，基本建立了东方明珠规章制度体系，为人才的配置、交流和发展提供更加清晰路径，同时优化薪酬结构，既提升核心人才薪酬的市场竞争力，又严格控制人力成本。</w:t>
      </w:r>
    </w:p>
    <w:p>
      <w:pPr>
        <w:spacing w:line="520" w:lineRule="exact"/>
        <w:ind w:firstLine="560" w:firstLineChars="200"/>
        <w:rPr>
          <w:rFonts w:ascii="宋体" w:hAnsi="宋体" w:eastAsia="宋体"/>
          <w:sz w:val="28"/>
          <w:szCs w:val="28"/>
        </w:rPr>
      </w:pPr>
      <w:r>
        <w:rPr>
          <w:rFonts w:hint="eastAsia" w:ascii="宋体" w:hAnsi="宋体" w:eastAsia="宋体"/>
          <w:sz w:val="28"/>
          <w:szCs w:val="28"/>
        </w:rPr>
        <w:t>在内部制度的梳理方面，紧随着新《证券法》颁布及证监会、交易所相关指引的出台，公司于2</w:t>
      </w:r>
      <w:r>
        <w:rPr>
          <w:rFonts w:ascii="宋体" w:hAnsi="宋体" w:eastAsia="宋体"/>
          <w:sz w:val="28"/>
          <w:szCs w:val="28"/>
        </w:rPr>
        <w:t>019</w:t>
      </w:r>
      <w:r>
        <w:rPr>
          <w:rFonts w:hint="eastAsia" w:ascii="宋体" w:hAnsi="宋体" w:eastAsia="宋体"/>
          <w:sz w:val="28"/>
          <w:szCs w:val="28"/>
        </w:rPr>
        <w:t>年底启动制订《内部信息报告管理制度》及其适用报送表格模板，并于2</w:t>
      </w:r>
      <w:r>
        <w:rPr>
          <w:rFonts w:ascii="宋体" w:hAnsi="宋体" w:eastAsia="宋体"/>
          <w:sz w:val="28"/>
          <w:szCs w:val="28"/>
        </w:rPr>
        <w:t>020</w:t>
      </w:r>
      <w:r>
        <w:rPr>
          <w:rFonts w:hint="eastAsia" w:ascii="宋体" w:hAnsi="宋体" w:eastAsia="宋体"/>
          <w:sz w:val="28"/>
          <w:szCs w:val="28"/>
        </w:rPr>
        <w:t>年4月2</w:t>
      </w:r>
      <w:r>
        <w:rPr>
          <w:rFonts w:ascii="宋体" w:hAnsi="宋体" w:eastAsia="宋体"/>
          <w:sz w:val="28"/>
          <w:szCs w:val="28"/>
        </w:rPr>
        <w:t>8</w:t>
      </w:r>
      <w:r>
        <w:rPr>
          <w:rFonts w:hint="eastAsia" w:ascii="宋体" w:hAnsi="宋体" w:eastAsia="宋体"/>
          <w:sz w:val="28"/>
          <w:szCs w:val="28"/>
        </w:rPr>
        <w:t>日经公司第九届董事会第八次会议审议通过。截至目前先后修订、制订并披露了《信息披露事务管理制度》《内幕信息知情人登记管理制度》《外部信息使用人管理制度》《投资者关系管理制度》《内部信息报告管理制度》，并且在公司内网挂网、OA下发传阅。在加强制度建设的同时，还与相关责任人、对接人在日常工作沟通中，强化相关规章制度的理解，以更好地执行推动制度落地践行。</w:t>
      </w:r>
    </w:p>
    <w:p>
      <w:pPr>
        <w:spacing w:line="520" w:lineRule="exact"/>
        <w:ind w:firstLine="560" w:firstLineChars="200"/>
        <w:rPr>
          <w:rFonts w:ascii="宋体" w:hAnsi="宋体" w:eastAsia="宋体"/>
          <w:sz w:val="28"/>
          <w:szCs w:val="28"/>
        </w:rPr>
      </w:pPr>
      <w:r>
        <w:rPr>
          <w:rFonts w:ascii="宋体" w:hAnsi="宋体" w:eastAsia="宋体"/>
          <w:sz w:val="28"/>
          <w:szCs w:val="28"/>
        </w:rPr>
        <w:t>2019年度，东方明珠</w:t>
      </w:r>
      <w:r>
        <w:rPr>
          <w:rFonts w:hint="eastAsia" w:ascii="宋体" w:hAnsi="宋体" w:eastAsia="宋体"/>
          <w:sz w:val="28"/>
          <w:szCs w:val="28"/>
        </w:rPr>
        <w:t>共召开</w:t>
      </w:r>
      <w:r>
        <w:rPr>
          <w:rFonts w:ascii="宋体" w:hAnsi="宋体" w:eastAsia="宋体"/>
          <w:sz w:val="28"/>
          <w:szCs w:val="28"/>
        </w:rPr>
        <w:t>2次股东</w:t>
      </w:r>
      <w:r>
        <w:rPr>
          <w:rFonts w:hint="eastAsia" w:ascii="宋体" w:hAnsi="宋体" w:eastAsia="宋体"/>
          <w:sz w:val="28"/>
          <w:szCs w:val="28"/>
        </w:rPr>
        <w:t>大会，</w:t>
      </w:r>
      <w:r>
        <w:rPr>
          <w:rFonts w:ascii="宋体" w:hAnsi="宋体" w:eastAsia="宋体"/>
          <w:sz w:val="28"/>
          <w:szCs w:val="28"/>
        </w:rPr>
        <w:t>筹备召开8次董事会会议、6</w:t>
      </w:r>
      <w:r>
        <w:rPr>
          <w:rFonts w:hint="eastAsia" w:ascii="宋体" w:hAnsi="宋体" w:eastAsia="宋体"/>
          <w:sz w:val="28"/>
          <w:szCs w:val="28"/>
        </w:rPr>
        <w:t>次监事会会议。每次会议的会议准备、会议通知、会议召开、会议决议、会议资料的整理和保存均符合规范运作的规定，董事、监事、高管对会议内容认真审核、充分讨论，均形成了有效的决议。</w:t>
      </w:r>
    </w:p>
    <w:p>
      <w:pPr>
        <w:spacing w:line="520" w:lineRule="exact"/>
        <w:ind w:firstLine="560" w:firstLineChars="200"/>
        <w:rPr>
          <w:rFonts w:ascii="宋体" w:hAnsi="宋体" w:eastAsia="宋体"/>
          <w:sz w:val="28"/>
          <w:szCs w:val="28"/>
        </w:rPr>
      </w:pPr>
      <w:r>
        <w:rPr>
          <w:rFonts w:hint="eastAsia" w:ascii="宋体" w:hAnsi="宋体" w:eastAsia="宋体"/>
          <w:sz w:val="28"/>
          <w:szCs w:val="28"/>
        </w:rPr>
        <w:t>为推动公司良好运营和可持续化发展，公司本着公开、公平、公的原则对最高治理机构及其委员会的成员进行提名和甄选，用有效的内部控制保证公司稳定与规范运作。</w:t>
      </w:r>
    </w:p>
    <w:p>
      <w:pPr>
        <w:spacing w:line="520" w:lineRule="exact"/>
        <w:ind w:firstLine="560" w:firstLineChars="200"/>
        <w:rPr>
          <w:rFonts w:ascii="宋体" w:hAnsi="宋体" w:eastAsia="宋体"/>
          <w:sz w:val="28"/>
          <w:szCs w:val="28"/>
        </w:rPr>
      </w:pPr>
    </w:p>
    <w:p>
      <w:pPr>
        <w:spacing w:line="520" w:lineRule="exact"/>
        <w:ind w:firstLine="562" w:firstLineChars="200"/>
        <w:rPr>
          <w:rFonts w:ascii="宋体" w:hAnsi="宋体" w:eastAsia="宋体"/>
          <w:b/>
          <w:bCs/>
          <w:sz w:val="28"/>
          <w:szCs w:val="28"/>
        </w:rPr>
      </w:pPr>
      <w:r>
        <w:rPr>
          <w:rFonts w:hint="eastAsia" w:ascii="宋体" w:hAnsi="宋体" w:eastAsia="宋体"/>
          <w:b/>
          <w:bCs/>
          <w:sz w:val="28"/>
          <w:szCs w:val="28"/>
        </w:rPr>
        <w:t>三、强化信息披露及投资者知情权保护</w:t>
      </w:r>
    </w:p>
    <w:p>
      <w:pPr>
        <w:autoSpaceDE w:val="0"/>
        <w:autoSpaceDN w:val="0"/>
        <w:adjustRightInd w:val="0"/>
        <w:spacing w:line="520" w:lineRule="exact"/>
        <w:ind w:firstLine="560" w:firstLineChars="200"/>
        <w:rPr>
          <w:rFonts w:ascii="宋体" w:hAnsi="宋体" w:eastAsia="宋体" w:cs="SourceHanSansCN-Bold"/>
          <w:kern w:val="0"/>
          <w:sz w:val="28"/>
          <w:szCs w:val="28"/>
        </w:rPr>
      </w:pPr>
      <w:r>
        <w:rPr>
          <w:rFonts w:hint="eastAsia" w:ascii="宋体" w:hAnsi="宋体" w:eastAsia="宋体" w:cs="SourceHanSansCN-Bold"/>
          <w:kern w:val="0"/>
          <w:sz w:val="28"/>
          <w:szCs w:val="28"/>
        </w:rPr>
        <w:t>1、强化信息披露</w:t>
      </w:r>
    </w:p>
    <w:p>
      <w:pPr>
        <w:spacing w:line="520" w:lineRule="exact"/>
        <w:ind w:firstLine="560" w:firstLineChars="200"/>
        <w:rPr>
          <w:rFonts w:ascii="宋体" w:hAnsi="宋体" w:eastAsia="宋体"/>
          <w:sz w:val="28"/>
          <w:szCs w:val="28"/>
        </w:rPr>
      </w:pPr>
      <w:r>
        <w:rPr>
          <w:rFonts w:hint="eastAsia" w:ascii="宋体" w:hAnsi="宋体" w:eastAsia="宋体"/>
          <w:sz w:val="28"/>
          <w:szCs w:val="28"/>
        </w:rPr>
        <w:t>公司严格按照公司上市规则和相关法律法规的有关要求，不断完善由股东大会、董事会、监事会和管理层构成的现代法人治理架构，形成权力机构、决策机构、监督机构和经营管理者之间的制衡机制。不断完善公司信息披露管理制度，提高公司治理水平，公司根据中国证监会相关规定制定并严格执行《信息披露管理制度》、《投资者关系管理制度》、《内幕信息知情人登记管理制度》、《东方明珠信息披露暂缓与豁免业务管理制度》等信息披露和内幕信息保密相关制度。公司全年共发布</w:t>
      </w:r>
      <w:r>
        <w:rPr>
          <w:rFonts w:ascii="宋体" w:hAnsi="宋体" w:eastAsia="宋体"/>
          <w:sz w:val="28"/>
          <w:szCs w:val="28"/>
        </w:rPr>
        <w:t>75条公告，真实、准确、完整、</w:t>
      </w:r>
      <w:r>
        <w:rPr>
          <w:rFonts w:hint="eastAsia" w:ascii="宋体" w:hAnsi="宋体" w:eastAsia="宋体"/>
          <w:sz w:val="28"/>
          <w:szCs w:val="28"/>
        </w:rPr>
        <w:t>及时的进行信息披露，充分保障投资者的知情权。</w:t>
      </w:r>
    </w:p>
    <w:p>
      <w:pPr>
        <w:autoSpaceDE w:val="0"/>
        <w:autoSpaceDN w:val="0"/>
        <w:adjustRightInd w:val="0"/>
        <w:spacing w:line="520" w:lineRule="exact"/>
        <w:ind w:firstLine="560" w:firstLineChars="200"/>
        <w:rPr>
          <w:rFonts w:ascii="宋体" w:hAnsi="宋体" w:eastAsia="宋体" w:cs="SourceHanSansCN-Bold"/>
          <w:kern w:val="0"/>
          <w:sz w:val="28"/>
          <w:szCs w:val="28"/>
        </w:rPr>
      </w:pPr>
      <w:r>
        <w:rPr>
          <w:rFonts w:hint="eastAsia" w:ascii="宋体" w:hAnsi="宋体" w:eastAsia="宋体" w:cs="SourceHanSansCN-Bold"/>
          <w:kern w:val="0"/>
          <w:sz w:val="28"/>
          <w:szCs w:val="28"/>
        </w:rPr>
        <w:t>2、加强投资者沟通</w:t>
      </w:r>
    </w:p>
    <w:p>
      <w:pPr>
        <w:autoSpaceDE w:val="0"/>
        <w:autoSpaceDN w:val="0"/>
        <w:adjustRightInd w:val="0"/>
        <w:spacing w:line="520" w:lineRule="exact"/>
        <w:ind w:firstLine="560" w:firstLineChars="200"/>
        <w:rPr>
          <w:rFonts w:ascii="宋体" w:hAnsi="宋体" w:eastAsia="宋体" w:cs="SourceHanSansCN-Normal"/>
          <w:kern w:val="0"/>
          <w:sz w:val="28"/>
          <w:szCs w:val="28"/>
        </w:rPr>
      </w:pPr>
      <w:r>
        <w:rPr>
          <w:rFonts w:ascii="宋体" w:hAnsi="宋体" w:eastAsia="宋体" w:cs="SourceHanSansCN-Normal"/>
          <w:kern w:val="0"/>
          <w:sz w:val="28"/>
          <w:szCs w:val="28"/>
        </w:rPr>
        <w:t>2019</w:t>
      </w:r>
      <w:r>
        <w:rPr>
          <w:rFonts w:hint="eastAsia" w:ascii="宋体" w:hAnsi="宋体" w:eastAsia="宋体" w:cs="SourceHanSansCN-Normal"/>
          <w:kern w:val="0"/>
          <w:sz w:val="28"/>
          <w:szCs w:val="28"/>
        </w:rPr>
        <w:t>年，公司积极开展投资者关系管理事务，完善公司对投资者的沟通、接待和服务工作机制。公司不断加强制度建设，高度重视与投资者的交流互动工作，通过专岗积极接听投资者热线、查看并回复投资者邮件、接待来访投资者，解答投资者疑问，通过现场交流、电话、传真、网络等方式与投资者开展公开透明的沟通交流。公司积极接待各类调研，并参与各大机构组织的策略会，积极与投资者进行沟通；举办投资者交流活动，增进与投资者的互动和沟通。</w:t>
      </w:r>
    </w:p>
    <w:p>
      <w:pPr>
        <w:autoSpaceDE w:val="0"/>
        <w:autoSpaceDN w:val="0"/>
        <w:adjustRightInd w:val="0"/>
        <w:spacing w:line="520" w:lineRule="exact"/>
        <w:ind w:firstLine="560" w:firstLineChars="200"/>
        <w:rPr>
          <w:rFonts w:ascii="宋体" w:hAnsi="宋体" w:eastAsia="宋体" w:cs="SourceHanSansCN-Normal"/>
          <w:kern w:val="0"/>
          <w:sz w:val="28"/>
          <w:szCs w:val="28"/>
        </w:rPr>
      </w:pPr>
      <w:r>
        <w:rPr>
          <w:rFonts w:ascii="宋体" w:hAnsi="宋体" w:eastAsia="宋体" w:cs="SourceHanSansCN-Normal"/>
          <w:kern w:val="0"/>
          <w:sz w:val="28"/>
          <w:szCs w:val="28"/>
        </w:rPr>
        <w:t>2019</w:t>
      </w:r>
      <w:r>
        <w:rPr>
          <w:rFonts w:hint="eastAsia" w:ascii="宋体" w:hAnsi="宋体" w:eastAsia="宋体" w:cs="SourceHanSansCN-Normal"/>
          <w:kern w:val="0"/>
          <w:sz w:val="28"/>
          <w:szCs w:val="28"/>
        </w:rPr>
        <w:t>年全年共接待投资者调研总次数</w:t>
      </w:r>
      <w:r>
        <w:rPr>
          <w:rFonts w:ascii="宋体" w:hAnsi="宋体" w:eastAsia="宋体" w:cs="SourceHanSansCN-Normal"/>
          <w:kern w:val="0"/>
          <w:sz w:val="28"/>
          <w:szCs w:val="28"/>
        </w:rPr>
        <w:t>687</w:t>
      </w:r>
      <w:r>
        <w:rPr>
          <w:rFonts w:hint="eastAsia" w:ascii="宋体" w:hAnsi="宋体" w:eastAsia="宋体" w:cs="SourceHanSansCN-Normal"/>
          <w:kern w:val="0"/>
          <w:sz w:val="28"/>
          <w:szCs w:val="28"/>
        </w:rPr>
        <w:t>次，总人数</w:t>
      </w:r>
      <w:r>
        <w:rPr>
          <w:rFonts w:ascii="宋体" w:hAnsi="宋体" w:eastAsia="宋体" w:cs="SourceHanSansCN-Normal"/>
          <w:kern w:val="0"/>
          <w:sz w:val="28"/>
          <w:szCs w:val="28"/>
        </w:rPr>
        <w:t>1052</w:t>
      </w:r>
      <w:r>
        <w:rPr>
          <w:rFonts w:hint="eastAsia" w:ascii="宋体" w:hAnsi="宋体" w:eastAsia="宋体" w:cs="SourceHanSansCN-Normal"/>
          <w:kern w:val="0"/>
          <w:sz w:val="28"/>
          <w:szCs w:val="28"/>
        </w:rPr>
        <w:t>人，其中线上调研接待次数为</w:t>
      </w:r>
      <w:r>
        <w:rPr>
          <w:rFonts w:ascii="宋体" w:hAnsi="宋体" w:eastAsia="宋体" w:cs="SourceHanSansCN-Normal"/>
          <w:kern w:val="0"/>
          <w:sz w:val="28"/>
          <w:szCs w:val="28"/>
        </w:rPr>
        <w:t>523</w:t>
      </w:r>
      <w:r>
        <w:rPr>
          <w:rFonts w:hint="eastAsia" w:ascii="宋体" w:hAnsi="宋体" w:eastAsia="宋体" w:cs="SourceHanSansCN-Normal"/>
          <w:kern w:val="0"/>
          <w:sz w:val="28"/>
          <w:szCs w:val="28"/>
        </w:rPr>
        <w:t>次，线下调研接待次数为</w:t>
      </w:r>
      <w:r>
        <w:rPr>
          <w:rFonts w:ascii="宋体" w:hAnsi="宋体" w:eastAsia="宋体" w:cs="SourceHanSansCN-Normal"/>
          <w:kern w:val="0"/>
          <w:sz w:val="28"/>
          <w:szCs w:val="28"/>
        </w:rPr>
        <w:t>164</w:t>
      </w:r>
      <w:r>
        <w:rPr>
          <w:rFonts w:hint="eastAsia" w:ascii="宋体" w:hAnsi="宋体" w:eastAsia="宋体" w:cs="SourceHanSansCN-Normal"/>
          <w:kern w:val="0"/>
          <w:sz w:val="28"/>
          <w:szCs w:val="28"/>
        </w:rPr>
        <w:t>次。全年接听及回复投资者来电</w:t>
      </w:r>
      <w:r>
        <w:rPr>
          <w:rFonts w:ascii="宋体" w:hAnsi="宋体" w:eastAsia="宋体" w:cs="SourceHanSansCN-Normal"/>
          <w:kern w:val="0"/>
          <w:sz w:val="28"/>
          <w:szCs w:val="28"/>
        </w:rPr>
        <w:t>2300</w:t>
      </w:r>
      <w:r>
        <w:rPr>
          <w:rFonts w:hint="eastAsia" w:ascii="宋体" w:hAnsi="宋体" w:eastAsia="宋体" w:cs="SourceHanSansCN-Normal"/>
          <w:kern w:val="0"/>
          <w:sz w:val="28"/>
          <w:szCs w:val="28"/>
        </w:rPr>
        <w:t>余次；浏览、回复投资者来邮件</w:t>
      </w:r>
      <w:r>
        <w:rPr>
          <w:rFonts w:ascii="宋体" w:hAnsi="宋体" w:eastAsia="宋体" w:cs="SourceHanSansCN-Normal"/>
          <w:kern w:val="0"/>
          <w:sz w:val="28"/>
          <w:szCs w:val="28"/>
        </w:rPr>
        <w:t>100</w:t>
      </w:r>
      <w:r>
        <w:rPr>
          <w:rFonts w:hint="eastAsia" w:ascii="宋体" w:hAnsi="宋体" w:eastAsia="宋体" w:cs="SourceHanSansCN-Normal"/>
          <w:kern w:val="0"/>
          <w:sz w:val="28"/>
          <w:szCs w:val="28"/>
        </w:rPr>
        <w:t>余封。</w:t>
      </w:r>
    </w:p>
    <w:p>
      <w:pPr>
        <w:spacing w:line="520" w:lineRule="exact"/>
        <w:ind w:firstLine="560" w:firstLineChars="200"/>
        <w:rPr>
          <w:rFonts w:ascii="宋体" w:hAnsi="宋体" w:eastAsia="宋体" w:cs="SourceHanSansCN-Normal"/>
          <w:kern w:val="0"/>
          <w:sz w:val="28"/>
          <w:szCs w:val="28"/>
        </w:rPr>
      </w:pPr>
      <w:r>
        <w:rPr>
          <w:rFonts w:hint="eastAsia" w:ascii="宋体" w:hAnsi="宋体" w:eastAsia="宋体" w:cs="SourceHanSansCN-Normal"/>
          <w:kern w:val="0"/>
          <w:sz w:val="28"/>
          <w:szCs w:val="28"/>
        </w:rPr>
        <w:t>为进一步加强与投资者的互动交流工作，公司于2</w:t>
      </w:r>
      <w:r>
        <w:rPr>
          <w:rFonts w:ascii="宋体" w:hAnsi="宋体" w:eastAsia="宋体" w:cs="SourceHanSansCN-Normal"/>
          <w:kern w:val="0"/>
          <w:sz w:val="28"/>
          <w:szCs w:val="28"/>
        </w:rPr>
        <w:t>019</w:t>
      </w:r>
      <w:r>
        <w:rPr>
          <w:rFonts w:hint="eastAsia" w:ascii="宋体" w:hAnsi="宋体" w:eastAsia="宋体" w:cs="SourceHanSansCN-Normal"/>
          <w:kern w:val="0"/>
          <w:sz w:val="28"/>
          <w:szCs w:val="28"/>
        </w:rPr>
        <w:t>年</w:t>
      </w:r>
      <w:r>
        <w:rPr>
          <w:rFonts w:ascii="宋体" w:hAnsi="宋体" w:eastAsia="宋体" w:cs="SourceHanSansCN-Normal"/>
          <w:kern w:val="0"/>
          <w:sz w:val="28"/>
          <w:szCs w:val="28"/>
        </w:rPr>
        <w:t>9</w:t>
      </w:r>
      <w:r>
        <w:rPr>
          <w:rFonts w:hint="eastAsia" w:ascii="宋体" w:hAnsi="宋体" w:eastAsia="宋体" w:cs="SourceHanSansCN-Normal"/>
          <w:kern w:val="0"/>
          <w:sz w:val="28"/>
          <w:szCs w:val="28"/>
        </w:rPr>
        <w:t>月</w:t>
      </w:r>
      <w:r>
        <w:rPr>
          <w:rFonts w:ascii="宋体" w:hAnsi="宋体" w:eastAsia="宋体" w:cs="SourceHanSansCN-Normal"/>
          <w:kern w:val="0"/>
          <w:sz w:val="28"/>
          <w:szCs w:val="28"/>
        </w:rPr>
        <w:t>26</w:t>
      </w:r>
      <w:r>
        <w:rPr>
          <w:rFonts w:hint="eastAsia" w:ascii="宋体" w:hAnsi="宋体" w:eastAsia="宋体" w:cs="SourceHanSansCN-Normal"/>
          <w:kern w:val="0"/>
          <w:sz w:val="28"/>
          <w:szCs w:val="28"/>
        </w:rPr>
        <w:t>日参加由上海上市公司协会、上证所信息网络有限公司共同举办的“</w:t>
      </w:r>
      <w:r>
        <w:rPr>
          <w:rFonts w:ascii="宋体" w:hAnsi="宋体" w:eastAsia="宋体" w:cs="SourceHanSansCN-Normal"/>
          <w:kern w:val="0"/>
          <w:sz w:val="28"/>
          <w:szCs w:val="28"/>
        </w:rPr>
        <w:t>2019</w:t>
      </w:r>
      <w:r>
        <w:rPr>
          <w:rFonts w:hint="eastAsia" w:ascii="宋体" w:hAnsi="宋体" w:eastAsia="宋体" w:cs="SourceHanSansCN-Normal"/>
          <w:kern w:val="0"/>
          <w:sz w:val="28"/>
          <w:szCs w:val="28"/>
        </w:rPr>
        <w:t>年上海辖区上市公司投资者集体接待日”活动，公司管理层积极主动通过网络在线交流形式与投资者就公司治理、发展战略、经营状况、融资计划、股权激励和可持续发展等投资者关注的问题进行了沟通，并回答投资者问题</w:t>
      </w:r>
      <w:r>
        <w:rPr>
          <w:rFonts w:ascii="宋体" w:hAnsi="宋体" w:eastAsia="宋体" w:cs="SourceHanSansCN-Normal"/>
          <w:kern w:val="0"/>
          <w:sz w:val="28"/>
          <w:szCs w:val="28"/>
        </w:rPr>
        <w:t>43</w:t>
      </w:r>
      <w:r>
        <w:rPr>
          <w:rFonts w:hint="eastAsia" w:ascii="宋体" w:hAnsi="宋体" w:eastAsia="宋体" w:cs="SourceHanSansCN-Normal"/>
          <w:kern w:val="0"/>
          <w:sz w:val="28"/>
          <w:szCs w:val="28"/>
        </w:rPr>
        <w:t>条。</w:t>
      </w:r>
    </w:p>
    <w:p>
      <w:pPr>
        <w:spacing w:line="520" w:lineRule="exact"/>
        <w:ind w:firstLine="560" w:firstLineChars="200"/>
        <w:rPr>
          <w:rFonts w:ascii="宋体" w:hAnsi="宋体" w:eastAsia="宋体"/>
          <w:sz w:val="28"/>
          <w:szCs w:val="28"/>
        </w:rPr>
      </w:pPr>
    </w:p>
    <w:p>
      <w:pPr>
        <w:spacing w:line="520" w:lineRule="exact"/>
        <w:ind w:firstLine="562" w:firstLineChars="200"/>
        <w:rPr>
          <w:rFonts w:ascii="宋体" w:hAnsi="宋体" w:eastAsia="宋体"/>
          <w:b/>
          <w:bCs/>
          <w:sz w:val="28"/>
          <w:szCs w:val="28"/>
        </w:rPr>
      </w:pPr>
      <w:r>
        <w:rPr>
          <w:rFonts w:hint="eastAsia" w:ascii="宋体" w:hAnsi="宋体" w:eastAsia="宋体"/>
          <w:b/>
          <w:bCs/>
          <w:sz w:val="28"/>
          <w:szCs w:val="28"/>
        </w:rPr>
        <w:t>四、持续维持高比例分红，回馈投资者</w:t>
      </w:r>
    </w:p>
    <w:p>
      <w:pPr>
        <w:spacing w:line="520" w:lineRule="exact"/>
        <w:ind w:firstLine="560" w:firstLineChars="200"/>
        <w:rPr>
          <w:rFonts w:ascii="宋体" w:hAnsi="宋体" w:eastAsia="宋体"/>
          <w:sz w:val="28"/>
          <w:szCs w:val="28"/>
        </w:rPr>
      </w:pPr>
      <w:r>
        <w:rPr>
          <w:rFonts w:hint="eastAsia" w:ascii="宋体" w:hAnsi="宋体" w:eastAsia="宋体"/>
          <w:sz w:val="28"/>
          <w:szCs w:val="28"/>
        </w:rPr>
        <w:t>自</w:t>
      </w:r>
      <w:r>
        <w:rPr>
          <w:rFonts w:ascii="宋体" w:hAnsi="宋体" w:eastAsia="宋体"/>
          <w:sz w:val="28"/>
          <w:szCs w:val="28"/>
        </w:rPr>
        <w:t>2015年公司重组以来，东方明珠积极回馈投资者，使投资者共享企业价值</w:t>
      </w:r>
      <w:r>
        <w:rPr>
          <w:rFonts w:hint="eastAsia" w:ascii="宋体" w:hAnsi="宋体" w:eastAsia="宋体"/>
          <w:sz w:val="28"/>
          <w:szCs w:val="28"/>
        </w:rPr>
        <w:t>，</w:t>
      </w:r>
      <w:r>
        <w:rPr>
          <w:rFonts w:ascii="宋体" w:hAnsi="宋体" w:eastAsia="宋体"/>
          <w:sz w:val="28"/>
          <w:szCs w:val="28"/>
        </w:rPr>
        <w:t>每年实施</w:t>
      </w:r>
      <w:r>
        <w:rPr>
          <w:rFonts w:hint="eastAsia" w:ascii="宋体" w:hAnsi="宋体" w:eastAsia="宋体"/>
          <w:sz w:val="28"/>
          <w:szCs w:val="28"/>
        </w:rPr>
        <w:t>利润分配</w:t>
      </w:r>
      <w:r>
        <w:rPr>
          <w:rFonts w:ascii="宋体" w:hAnsi="宋体" w:eastAsia="宋体"/>
          <w:sz w:val="28"/>
          <w:szCs w:val="28"/>
        </w:rPr>
        <w:t>并逐步提升，现金分红总额</w:t>
      </w:r>
      <w:r>
        <w:rPr>
          <w:rFonts w:hint="eastAsia" w:ascii="宋体" w:hAnsi="宋体" w:eastAsia="宋体"/>
          <w:sz w:val="28"/>
          <w:szCs w:val="28"/>
        </w:rPr>
        <w:t>累计达</w:t>
      </w:r>
      <w:r>
        <w:rPr>
          <w:rFonts w:ascii="宋体" w:hAnsi="宋体" w:eastAsia="宋体"/>
          <w:sz w:val="28"/>
          <w:szCs w:val="28"/>
        </w:rPr>
        <w:t>42.75亿</w:t>
      </w:r>
      <w:r>
        <w:rPr>
          <w:rFonts w:hint="eastAsia" w:ascii="宋体" w:hAnsi="宋体" w:eastAsia="宋体"/>
          <w:sz w:val="28"/>
          <w:szCs w:val="28"/>
        </w:rPr>
        <w:t>元人民币，年均分红金额较重组前提升</w:t>
      </w:r>
      <w:r>
        <w:rPr>
          <w:rFonts w:ascii="宋体" w:hAnsi="宋体" w:eastAsia="宋体"/>
          <w:sz w:val="28"/>
          <w:szCs w:val="28"/>
        </w:rPr>
        <w:t>184%。</w:t>
      </w:r>
    </w:p>
    <w:p>
      <w:pPr>
        <w:spacing w:line="520" w:lineRule="exact"/>
        <w:ind w:firstLine="560" w:firstLineChars="200"/>
        <w:rPr>
          <w:rFonts w:ascii="宋体" w:hAnsi="宋体" w:eastAsia="宋体"/>
          <w:sz w:val="28"/>
          <w:szCs w:val="28"/>
        </w:rPr>
      </w:pPr>
    </w:p>
    <w:p>
      <w:pPr>
        <w:spacing w:line="520" w:lineRule="exact"/>
        <w:ind w:firstLine="562" w:firstLineChars="200"/>
        <w:rPr>
          <w:rFonts w:ascii="宋体" w:hAnsi="宋体" w:eastAsia="宋体"/>
          <w:b/>
          <w:bCs/>
          <w:sz w:val="28"/>
          <w:szCs w:val="28"/>
        </w:rPr>
      </w:pPr>
      <w:r>
        <w:rPr>
          <w:rFonts w:hint="eastAsia" w:ascii="宋体" w:hAnsi="宋体" w:eastAsia="宋体"/>
          <w:b/>
          <w:bCs/>
          <w:sz w:val="28"/>
          <w:szCs w:val="28"/>
        </w:rPr>
        <w:t>五、持续发布社会责任报告</w:t>
      </w:r>
    </w:p>
    <w:p>
      <w:pPr>
        <w:spacing w:line="520" w:lineRule="exact"/>
        <w:ind w:firstLine="560" w:firstLineChars="200"/>
        <w:rPr>
          <w:rFonts w:ascii="宋体" w:hAnsi="宋体" w:eastAsia="宋体" w:cs="SourceHanSansCN-Normal"/>
          <w:kern w:val="0"/>
          <w:sz w:val="28"/>
          <w:szCs w:val="28"/>
        </w:rPr>
      </w:pPr>
      <w:r>
        <w:rPr>
          <w:rFonts w:hint="eastAsia" w:ascii="宋体" w:hAnsi="宋体" w:eastAsia="宋体" w:cs="SourceHanSansCN-Normal"/>
          <w:kern w:val="0"/>
          <w:sz w:val="28"/>
          <w:szCs w:val="28"/>
        </w:rPr>
        <w:t>上市公司社会责任报告是体现上市公司环境责任、社会责任和公司治理责任的报告。公司已经连续四年披露社会责任报告，从市场绩效、社会绩效、环境绩效等方面展示了东方明珠对政府、股东、客户、合作伙伴、员工、社区、环境等各层面做出的各项努力，充分体现了东方明珠作为行业龙头公司，关注自身发展、关注行业发展、关注社会发展的责任践行道路。</w:t>
      </w:r>
    </w:p>
    <w:p>
      <w:pPr>
        <w:spacing w:line="520" w:lineRule="exact"/>
        <w:ind w:firstLine="560" w:firstLineChars="200"/>
        <w:rPr>
          <w:rFonts w:ascii="宋体" w:hAnsi="宋体" w:eastAsia="宋体" w:cs="SourceHanSansCN-Normal"/>
          <w:kern w:val="0"/>
          <w:sz w:val="28"/>
          <w:szCs w:val="28"/>
        </w:rPr>
      </w:pPr>
    </w:p>
    <w:p>
      <w:pPr>
        <w:spacing w:line="520" w:lineRule="exact"/>
        <w:ind w:firstLine="560" w:firstLineChars="200"/>
        <w:rPr>
          <w:rFonts w:ascii="宋体" w:hAnsi="宋体" w:eastAsia="宋体" w:cs="SourceHanSansCN-Normal"/>
          <w:kern w:val="0"/>
          <w:sz w:val="28"/>
          <w:szCs w:val="28"/>
        </w:rPr>
      </w:pPr>
      <w:r>
        <w:rPr>
          <w:rFonts w:hint="eastAsia" w:ascii="宋体" w:hAnsi="宋体" w:eastAsia="宋体" w:cs="SourceHanSansCN-Normal"/>
          <w:kern w:val="0"/>
          <w:sz w:val="28"/>
          <w:szCs w:val="28"/>
        </w:rPr>
        <w:t>面向未来，东方明珠将继续努力提高公司治理水平，提升公司质量，践行新《证券法》加强投资者保护，坚持社会效益与经济效益相统一，提升社会责任履行能力，百尺竿头更进一步，为社会、经济、环境及行业的可持续发展做出更多贡献！</w:t>
      </w:r>
    </w:p>
    <w:p>
      <w:pPr>
        <w:spacing w:line="520" w:lineRule="exact"/>
        <w:ind w:firstLine="560" w:firstLineChars="200"/>
        <w:rPr>
          <w:rFonts w:ascii="宋体" w:hAnsi="宋体" w:eastAsia="宋体"/>
          <w:sz w:val="28"/>
          <w:szCs w:val="28"/>
        </w:rPr>
      </w:pPr>
    </w:p>
    <w:p>
      <w:pPr>
        <w:spacing w:line="520" w:lineRule="exact"/>
        <w:ind w:firstLine="560" w:firstLineChars="200"/>
        <w:rPr>
          <w:rFonts w:ascii="宋体" w:hAnsi="宋体" w:eastAsia="宋体"/>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SourceHanSansCN-Bold">
    <w:altName w:val="微软雅黑"/>
    <w:panose1 w:val="00000000000000000000"/>
    <w:charset w:val="86"/>
    <w:family w:val="auto"/>
    <w:pitch w:val="default"/>
    <w:sig w:usb0="00000000" w:usb1="00000000" w:usb2="00000010" w:usb3="00000000" w:csb0="00040000" w:csb1="00000000"/>
  </w:font>
  <w:font w:name="SourceHanSansCN-Normal">
    <w:altName w:val="微软雅黑"/>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A53"/>
    <w:rsid w:val="0001150D"/>
    <w:rsid w:val="0001421A"/>
    <w:rsid w:val="00025827"/>
    <w:rsid w:val="00034FD4"/>
    <w:rsid w:val="0004239B"/>
    <w:rsid w:val="00043AA8"/>
    <w:rsid w:val="00045343"/>
    <w:rsid w:val="00073817"/>
    <w:rsid w:val="000B5173"/>
    <w:rsid w:val="000C56D4"/>
    <w:rsid w:val="000D6EF2"/>
    <w:rsid w:val="000E5EA0"/>
    <w:rsid w:val="000F1265"/>
    <w:rsid w:val="0012101D"/>
    <w:rsid w:val="00123A52"/>
    <w:rsid w:val="0012500A"/>
    <w:rsid w:val="0013081D"/>
    <w:rsid w:val="00140DC1"/>
    <w:rsid w:val="00166B10"/>
    <w:rsid w:val="0018273B"/>
    <w:rsid w:val="001840FA"/>
    <w:rsid w:val="00197965"/>
    <w:rsid w:val="001A0E43"/>
    <w:rsid w:val="001D3B7F"/>
    <w:rsid w:val="001D4721"/>
    <w:rsid w:val="001F3551"/>
    <w:rsid w:val="00222232"/>
    <w:rsid w:val="0023448D"/>
    <w:rsid w:val="002362E5"/>
    <w:rsid w:val="00237C24"/>
    <w:rsid w:val="002413A0"/>
    <w:rsid w:val="002556B7"/>
    <w:rsid w:val="0025742C"/>
    <w:rsid w:val="00257585"/>
    <w:rsid w:val="0026001F"/>
    <w:rsid w:val="00264CA4"/>
    <w:rsid w:val="00292CBE"/>
    <w:rsid w:val="002A1902"/>
    <w:rsid w:val="002A5B60"/>
    <w:rsid w:val="002A73C1"/>
    <w:rsid w:val="002B6788"/>
    <w:rsid w:val="002B7445"/>
    <w:rsid w:val="002C1CE8"/>
    <w:rsid w:val="002C46E6"/>
    <w:rsid w:val="002E17E6"/>
    <w:rsid w:val="002E60B9"/>
    <w:rsid w:val="00312189"/>
    <w:rsid w:val="00324154"/>
    <w:rsid w:val="0034743D"/>
    <w:rsid w:val="00365BE0"/>
    <w:rsid w:val="003924F9"/>
    <w:rsid w:val="00392A04"/>
    <w:rsid w:val="003A674C"/>
    <w:rsid w:val="003C07D3"/>
    <w:rsid w:val="003C0A1F"/>
    <w:rsid w:val="003C4C31"/>
    <w:rsid w:val="003D52BB"/>
    <w:rsid w:val="003F0816"/>
    <w:rsid w:val="003F0CED"/>
    <w:rsid w:val="003F1C18"/>
    <w:rsid w:val="0040444D"/>
    <w:rsid w:val="004063C2"/>
    <w:rsid w:val="00441548"/>
    <w:rsid w:val="00451899"/>
    <w:rsid w:val="004737A8"/>
    <w:rsid w:val="00474086"/>
    <w:rsid w:val="00484B30"/>
    <w:rsid w:val="00484E18"/>
    <w:rsid w:val="004B1771"/>
    <w:rsid w:val="004C4CD5"/>
    <w:rsid w:val="004C57BF"/>
    <w:rsid w:val="004C7C4E"/>
    <w:rsid w:val="004F34C8"/>
    <w:rsid w:val="005002C5"/>
    <w:rsid w:val="00501FB2"/>
    <w:rsid w:val="005659DC"/>
    <w:rsid w:val="005929C9"/>
    <w:rsid w:val="005A2778"/>
    <w:rsid w:val="005A2CA8"/>
    <w:rsid w:val="005E06EB"/>
    <w:rsid w:val="005F022B"/>
    <w:rsid w:val="00602733"/>
    <w:rsid w:val="00620F17"/>
    <w:rsid w:val="006359E9"/>
    <w:rsid w:val="00667B5A"/>
    <w:rsid w:val="0067742B"/>
    <w:rsid w:val="006A1574"/>
    <w:rsid w:val="006B2E5F"/>
    <w:rsid w:val="006C0F68"/>
    <w:rsid w:val="006C2BDB"/>
    <w:rsid w:val="006C3097"/>
    <w:rsid w:val="006D780A"/>
    <w:rsid w:val="006E404B"/>
    <w:rsid w:val="0070477D"/>
    <w:rsid w:val="00727EF6"/>
    <w:rsid w:val="00745F8D"/>
    <w:rsid w:val="00776D56"/>
    <w:rsid w:val="007857AF"/>
    <w:rsid w:val="007C2984"/>
    <w:rsid w:val="007C4601"/>
    <w:rsid w:val="007D2E71"/>
    <w:rsid w:val="007D412F"/>
    <w:rsid w:val="007D6944"/>
    <w:rsid w:val="007F0F73"/>
    <w:rsid w:val="007F2311"/>
    <w:rsid w:val="00817FA5"/>
    <w:rsid w:val="00831B53"/>
    <w:rsid w:val="008655E7"/>
    <w:rsid w:val="00871515"/>
    <w:rsid w:val="008804D2"/>
    <w:rsid w:val="00894D19"/>
    <w:rsid w:val="008A2A7A"/>
    <w:rsid w:val="008B063B"/>
    <w:rsid w:val="008B10BA"/>
    <w:rsid w:val="008B142C"/>
    <w:rsid w:val="008B3D0F"/>
    <w:rsid w:val="008C68EA"/>
    <w:rsid w:val="008C69E4"/>
    <w:rsid w:val="008E430F"/>
    <w:rsid w:val="00902FEE"/>
    <w:rsid w:val="00905EB2"/>
    <w:rsid w:val="0091732D"/>
    <w:rsid w:val="00926E04"/>
    <w:rsid w:val="009579AC"/>
    <w:rsid w:val="00961727"/>
    <w:rsid w:val="0097038A"/>
    <w:rsid w:val="009844D0"/>
    <w:rsid w:val="00986005"/>
    <w:rsid w:val="00993A53"/>
    <w:rsid w:val="00995BBA"/>
    <w:rsid w:val="009A515F"/>
    <w:rsid w:val="009D476F"/>
    <w:rsid w:val="009E060E"/>
    <w:rsid w:val="009F4D2C"/>
    <w:rsid w:val="00A10469"/>
    <w:rsid w:val="00A12EC2"/>
    <w:rsid w:val="00A61B1E"/>
    <w:rsid w:val="00A70E9C"/>
    <w:rsid w:val="00A778CA"/>
    <w:rsid w:val="00A8210E"/>
    <w:rsid w:val="00AA44EE"/>
    <w:rsid w:val="00AB5288"/>
    <w:rsid w:val="00AB6F07"/>
    <w:rsid w:val="00AD67C6"/>
    <w:rsid w:val="00B171FA"/>
    <w:rsid w:val="00B34178"/>
    <w:rsid w:val="00B426ED"/>
    <w:rsid w:val="00B52989"/>
    <w:rsid w:val="00B66BA4"/>
    <w:rsid w:val="00BA0857"/>
    <w:rsid w:val="00BA4E62"/>
    <w:rsid w:val="00BE16D1"/>
    <w:rsid w:val="00BE28BC"/>
    <w:rsid w:val="00C11B98"/>
    <w:rsid w:val="00C13614"/>
    <w:rsid w:val="00C23278"/>
    <w:rsid w:val="00C26588"/>
    <w:rsid w:val="00C52D89"/>
    <w:rsid w:val="00C54725"/>
    <w:rsid w:val="00C56958"/>
    <w:rsid w:val="00C56BED"/>
    <w:rsid w:val="00C57E24"/>
    <w:rsid w:val="00C61961"/>
    <w:rsid w:val="00C62214"/>
    <w:rsid w:val="00C7077E"/>
    <w:rsid w:val="00C735E8"/>
    <w:rsid w:val="00C74C62"/>
    <w:rsid w:val="00C7534D"/>
    <w:rsid w:val="00C84EB4"/>
    <w:rsid w:val="00C85A9F"/>
    <w:rsid w:val="00C874B1"/>
    <w:rsid w:val="00C93DE0"/>
    <w:rsid w:val="00CD784C"/>
    <w:rsid w:val="00CF28C7"/>
    <w:rsid w:val="00D02111"/>
    <w:rsid w:val="00D06029"/>
    <w:rsid w:val="00D07263"/>
    <w:rsid w:val="00D17324"/>
    <w:rsid w:val="00D20CF7"/>
    <w:rsid w:val="00D51130"/>
    <w:rsid w:val="00D536C2"/>
    <w:rsid w:val="00D53B51"/>
    <w:rsid w:val="00D76160"/>
    <w:rsid w:val="00D77631"/>
    <w:rsid w:val="00D77A95"/>
    <w:rsid w:val="00DB4AFE"/>
    <w:rsid w:val="00DD6A71"/>
    <w:rsid w:val="00DE4073"/>
    <w:rsid w:val="00DE7FB5"/>
    <w:rsid w:val="00E441D8"/>
    <w:rsid w:val="00E44FA4"/>
    <w:rsid w:val="00E55730"/>
    <w:rsid w:val="00E74AED"/>
    <w:rsid w:val="00E97708"/>
    <w:rsid w:val="00EB645E"/>
    <w:rsid w:val="00EC53FF"/>
    <w:rsid w:val="00ED4F12"/>
    <w:rsid w:val="00ED54F4"/>
    <w:rsid w:val="00ED567A"/>
    <w:rsid w:val="00EF1555"/>
    <w:rsid w:val="00F20895"/>
    <w:rsid w:val="00F529FB"/>
    <w:rsid w:val="00F63401"/>
    <w:rsid w:val="00F7792C"/>
    <w:rsid w:val="00F87F3D"/>
    <w:rsid w:val="00F918D8"/>
    <w:rsid w:val="00F95069"/>
    <w:rsid w:val="00FC3F4D"/>
    <w:rsid w:val="25775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6"/>
    <w:link w:val="4"/>
    <w:qFormat/>
    <w:uiPriority w:val="99"/>
    <w:rPr>
      <w:sz w:val="18"/>
      <w:szCs w:val="18"/>
    </w:rPr>
  </w:style>
  <w:style w:type="character" w:customStyle="1" w:styleId="9">
    <w:name w:val="页脚 字符"/>
    <w:basedOn w:val="6"/>
    <w:link w:val="3"/>
    <w:uiPriority w:val="99"/>
    <w:rPr>
      <w:sz w:val="18"/>
      <w:szCs w:val="18"/>
    </w:rPr>
  </w:style>
  <w:style w:type="character" w:customStyle="1" w:styleId="10">
    <w:name w:val="批注框文本 字符"/>
    <w:basedOn w:val="6"/>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445</Words>
  <Characters>2542</Characters>
  <Lines>21</Lines>
  <Paragraphs>5</Paragraphs>
  <TotalTime>0</TotalTime>
  <ScaleCrop>false</ScaleCrop>
  <LinksUpToDate>false</LinksUpToDate>
  <CharactersWithSpaces>2982</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2020-05-12T09:29:00Z</dcterms:created>
  <dc:creator>嵇绯绯</dc:creator>
  <cp:lastModifiedBy>csrc</cp:lastModifiedBy>
  <cp:lastPrinted>2020-05-12T09:12:00Z</cp:lastPrinted>
  <dcterms:modified xsi:type="dcterms:W3CDTF">2020-05-21T01:07:52Z</dcterms:modified>
  <dc:title>“诚实守信 做受尊敬的上市公司”投资者保护专项行动系列宣传文章</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