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line="560" w:lineRule="exact"/>
        <w:jc w:val="left"/>
        <w:rPr>
          <w:rFonts w:hint="eastAsia" w:ascii="Times New Roman" w:hAnsi="Times New Roman" w:eastAsia="仿宋" w:cs="Times New Roman"/>
          <w:kern w:val="2"/>
          <w:sz w:val="32"/>
          <w:szCs w:val="32"/>
          <w:lang w:val="en-US" w:eastAsia="zh-CN" w:bidi="ar-SA"/>
        </w:rPr>
      </w:pPr>
      <w:r>
        <w:rPr>
          <w:rFonts w:hint="default" w:ascii="Times New Roman" w:hAnsi="Times New Roman" w:eastAsia="仿宋" w:cs="Times New Roman"/>
          <w:b/>
          <w:bCs/>
          <w:kern w:val="2"/>
          <w:sz w:val="28"/>
          <w:szCs w:val="28"/>
          <w:lang w:val="en-US" w:eastAsia="zh-CN" w:bidi="ar-SA"/>
        </w:rPr>
        <w:t>“诚实守信 做受尊敬的上市公司”投资者保护专项行动</w:t>
      </w:r>
      <w:r>
        <w:rPr>
          <w:rFonts w:hint="eastAsia" w:ascii="Times New Roman" w:hAnsi="Times New Roman" w:eastAsia="仿宋" w:cs="Times New Roman"/>
          <w:b/>
          <w:bCs/>
          <w:kern w:val="2"/>
          <w:sz w:val="28"/>
          <w:szCs w:val="28"/>
          <w:lang w:val="en-US" w:eastAsia="zh-CN" w:bidi="ar-SA"/>
        </w:rPr>
        <w:t>系列宣传文章</w:t>
      </w:r>
    </w:p>
    <w:p>
      <w:pPr>
        <w:spacing w:after="156" w:afterLines="50" w:line="560" w:lineRule="exact"/>
        <w:jc w:val="left"/>
        <w:rPr>
          <w:rFonts w:hint="eastAsia" w:ascii="Times New Roman" w:hAnsi="Times New Roman" w:eastAsia="仿宋" w:cs="Times New Roman"/>
          <w:kern w:val="2"/>
          <w:sz w:val="32"/>
          <w:szCs w:val="32"/>
          <w:lang w:val="en-US" w:eastAsia="zh-CN" w:bidi="ar-SA"/>
        </w:rPr>
      </w:pPr>
    </w:p>
    <w:p>
      <w:pPr>
        <w:spacing w:after="156" w:afterLines="50" w:line="560" w:lineRule="exact"/>
        <w:jc w:val="center"/>
        <w:rPr>
          <w:rFonts w:ascii="Times New Roman" w:hAnsi="Times New Roman" w:eastAsia="楷体" w:cs="Times New Roman"/>
          <w:b/>
          <w:sz w:val="32"/>
          <w:szCs w:val="32"/>
        </w:rPr>
      </w:pPr>
      <w:r>
        <w:rPr>
          <w:rFonts w:ascii="Times New Roman" w:hAnsi="Times New Roman" w:eastAsia="楷体" w:cs="Times New Roman"/>
          <w:b/>
          <w:sz w:val="32"/>
          <w:szCs w:val="32"/>
        </w:rPr>
        <w:t>做好新证券法贯彻落实  开创公司高质量发展新局面</w:t>
      </w:r>
    </w:p>
    <w:p>
      <w:pPr>
        <w:spacing w:after="156" w:afterLines="50" w:line="560" w:lineRule="exact"/>
        <w:jc w:val="center"/>
        <w:rPr>
          <w:rFonts w:ascii="Times New Roman" w:hAnsi="Times New Roman" w:eastAsia="楷体" w:cs="Times New Roman"/>
          <w:sz w:val="28"/>
          <w:szCs w:val="28"/>
        </w:rPr>
      </w:pPr>
      <w:r>
        <w:rPr>
          <w:rFonts w:ascii="Times New Roman" w:hAnsi="Times New Roman" w:eastAsia="楷体" w:cs="Times New Roman"/>
          <w:sz w:val="28"/>
          <w:szCs w:val="28"/>
        </w:rPr>
        <w:t>—金融</w:t>
      </w:r>
      <w:bookmarkStart w:id="0" w:name="_GoBack"/>
      <w:bookmarkEnd w:id="0"/>
      <w:r>
        <w:rPr>
          <w:rFonts w:ascii="Times New Roman" w:hAnsi="Times New Roman" w:eastAsia="楷体" w:cs="Times New Roman"/>
          <w:sz w:val="28"/>
          <w:szCs w:val="28"/>
        </w:rPr>
        <w:t>街控股股份有限公司 董事长 高 靓</w:t>
      </w:r>
    </w:p>
    <w:p>
      <w:pPr>
        <w:spacing w:after="156" w:afterLines="50" w:line="560" w:lineRule="exact"/>
        <w:ind w:firstLine="560" w:firstLineChars="200"/>
        <w:rPr>
          <w:rFonts w:ascii="Times New Roman" w:hAnsi="Times New Roman" w:eastAsia="楷体" w:cs="Times New Roman"/>
          <w:sz w:val="28"/>
          <w:szCs w:val="28"/>
        </w:rPr>
      </w:pPr>
      <w:r>
        <w:rPr>
          <w:rFonts w:ascii="Times New Roman" w:hAnsi="Times New Roman" w:eastAsia="楷体" w:cs="Times New Roman"/>
          <w:sz w:val="28"/>
          <w:szCs w:val="28"/>
        </w:rPr>
        <w:t>新证券法的实施，推动中国资本市场进入了一个全新的发展时代。打造一个规范、透明、开放、有活力、有韧性的资本市场已成为整个市场参与人士的共识。对于此，金融街在学习贯彻落实新证券法的过程中深有体会。</w:t>
      </w:r>
    </w:p>
    <w:p>
      <w:pPr>
        <w:spacing w:after="156" w:afterLines="50" w:line="560" w:lineRule="exact"/>
        <w:ind w:firstLine="560" w:firstLineChars="200"/>
        <w:rPr>
          <w:rFonts w:ascii="Times New Roman" w:hAnsi="Times New Roman" w:eastAsia="楷体" w:cs="Times New Roman"/>
          <w:sz w:val="28"/>
          <w:szCs w:val="28"/>
        </w:rPr>
      </w:pPr>
      <w:r>
        <w:rPr>
          <w:rFonts w:ascii="Times New Roman" w:hAnsi="Times New Roman" w:eastAsia="楷体" w:cs="Times New Roman"/>
          <w:sz w:val="28"/>
          <w:szCs w:val="28"/>
        </w:rPr>
        <w:t>作为上市公司金融街的</w:t>
      </w:r>
      <w:r>
        <w:rPr>
          <w:rFonts w:hint="eastAsia" w:ascii="Times New Roman" w:hAnsi="Times New Roman" w:eastAsia="楷体" w:cs="Times New Roman"/>
          <w:sz w:val="28"/>
          <w:szCs w:val="28"/>
        </w:rPr>
        <w:t>负责</w:t>
      </w:r>
      <w:r>
        <w:rPr>
          <w:rFonts w:ascii="Times New Roman" w:hAnsi="Times New Roman" w:eastAsia="楷体" w:cs="Times New Roman"/>
          <w:sz w:val="28"/>
          <w:szCs w:val="28"/>
        </w:rPr>
        <w:t>人，在多年的工作实践中我充分认识到严格依法办事，筑牢底线思维，切实保护投资者权益的重要性。我从不敢掉以轻心，因为深知在我们的身后牵动着的是成千上万员工、投资者和客户的权益。我们既是这样想的，更是</w:t>
      </w:r>
      <w:r>
        <w:rPr>
          <w:rFonts w:hint="eastAsia" w:ascii="Times New Roman" w:hAnsi="Times New Roman" w:eastAsia="楷体" w:cs="Times New Roman"/>
          <w:sz w:val="28"/>
          <w:szCs w:val="28"/>
        </w:rPr>
        <w:t>努力</w:t>
      </w:r>
      <w:r>
        <w:rPr>
          <w:rFonts w:ascii="Times New Roman" w:hAnsi="Times New Roman" w:eastAsia="楷体" w:cs="Times New Roman"/>
          <w:sz w:val="28"/>
          <w:szCs w:val="28"/>
        </w:rPr>
        <w:t>这样做的，公司自2000年资产置换上市后，连续二十年实施现金分红，已累计现金分红近100亿元。</w:t>
      </w:r>
    </w:p>
    <w:p>
      <w:pPr>
        <w:spacing w:after="156" w:afterLines="50" w:line="560" w:lineRule="exact"/>
        <w:ind w:firstLine="560" w:firstLineChars="200"/>
        <w:rPr>
          <w:rFonts w:ascii="Times New Roman" w:hAnsi="Times New Roman" w:eastAsia="楷体" w:cs="Times New Roman"/>
          <w:sz w:val="28"/>
          <w:szCs w:val="28"/>
        </w:rPr>
      </w:pPr>
      <w:r>
        <w:rPr>
          <w:rFonts w:ascii="Times New Roman" w:hAnsi="Times New Roman" w:eastAsia="楷体" w:cs="Times New Roman"/>
          <w:sz w:val="28"/>
          <w:szCs w:val="28"/>
        </w:rPr>
        <w:t>公司管理团队自愿投身到投资者关系管理工作中，为公司发展不断助力使金融街受益匪浅</w:t>
      </w:r>
      <w:r>
        <w:rPr>
          <w:rFonts w:hint="eastAsia" w:ascii="Times New Roman" w:hAnsi="Times New Roman" w:eastAsia="楷体" w:cs="Times New Roman"/>
          <w:sz w:val="28"/>
          <w:szCs w:val="28"/>
        </w:rPr>
        <w:t>。金融街</w:t>
      </w:r>
      <w:r>
        <w:rPr>
          <w:rFonts w:ascii="Times New Roman" w:hAnsi="Times New Roman" w:eastAsia="楷体" w:cs="Times New Roman"/>
          <w:sz w:val="28"/>
          <w:szCs w:val="28"/>
        </w:rPr>
        <w:t>今年在积极参与抗击新冠肺炎疫情斗争的同时，积极创新投资者关系管理工作内容，利用线上模式主动开展投资者沟通，并把这种沟通有机地渗透到公司融资工作中去。疫情期间公司抗疫复工两不误，成功发行了三期共73亿元超短期融资券和80亿元金融街中心资产支持专项计划，这些</w:t>
      </w:r>
      <w:r>
        <w:rPr>
          <w:rFonts w:hint="eastAsia" w:ascii="Times New Roman" w:hAnsi="Times New Roman" w:eastAsia="楷体" w:cs="Times New Roman"/>
          <w:sz w:val="28"/>
          <w:szCs w:val="28"/>
        </w:rPr>
        <w:t>发行的成功得益于</w:t>
      </w:r>
      <w:r>
        <w:rPr>
          <w:rFonts w:ascii="Times New Roman" w:hAnsi="Times New Roman" w:eastAsia="楷体" w:cs="Times New Roman"/>
          <w:sz w:val="28"/>
          <w:szCs w:val="28"/>
        </w:rPr>
        <w:t>我们长期以来高度重视投资者</w:t>
      </w:r>
      <w:r>
        <w:rPr>
          <w:rFonts w:hint="eastAsia" w:ascii="Times New Roman" w:hAnsi="Times New Roman" w:eastAsia="楷体" w:cs="Times New Roman"/>
          <w:sz w:val="28"/>
          <w:szCs w:val="28"/>
        </w:rPr>
        <w:t>，更是投资者对金融街的支持和信任。</w:t>
      </w:r>
    </w:p>
    <w:p>
      <w:pPr>
        <w:spacing w:after="156" w:afterLines="50" w:line="560" w:lineRule="exact"/>
        <w:ind w:firstLine="560" w:firstLineChars="200"/>
        <w:rPr>
          <w:rFonts w:ascii="Times New Roman" w:hAnsi="Times New Roman" w:eastAsia="楷体" w:cs="Times New Roman"/>
          <w:sz w:val="28"/>
          <w:szCs w:val="28"/>
        </w:rPr>
      </w:pPr>
      <w:r>
        <w:rPr>
          <w:rFonts w:ascii="Times New Roman" w:hAnsi="Times New Roman" w:eastAsia="楷体" w:cs="Times New Roman"/>
          <w:sz w:val="28"/>
          <w:szCs w:val="28"/>
        </w:rPr>
        <w:t>公司</w:t>
      </w:r>
      <w:r>
        <w:rPr>
          <w:rFonts w:hint="eastAsia" w:ascii="Times New Roman" w:hAnsi="Times New Roman" w:eastAsia="楷体" w:cs="Times New Roman"/>
          <w:sz w:val="28"/>
          <w:szCs w:val="28"/>
        </w:rPr>
        <w:t>于</w:t>
      </w:r>
      <w:r>
        <w:rPr>
          <w:rFonts w:ascii="Times New Roman" w:hAnsi="Times New Roman" w:eastAsia="楷体" w:cs="Times New Roman"/>
          <w:sz w:val="28"/>
          <w:szCs w:val="28"/>
        </w:rPr>
        <w:t>2018年先后“入摩”“入富”</w:t>
      </w:r>
      <w:r>
        <w:rPr>
          <w:rFonts w:hint="eastAsia" w:ascii="Times New Roman" w:hAnsi="Times New Roman" w:eastAsia="楷体" w:cs="Times New Roman"/>
          <w:sz w:val="28"/>
          <w:szCs w:val="28"/>
        </w:rPr>
        <w:t>之</w:t>
      </w:r>
      <w:r>
        <w:rPr>
          <w:rFonts w:ascii="Times New Roman" w:hAnsi="Times New Roman" w:eastAsia="楷体" w:cs="Times New Roman"/>
          <w:sz w:val="28"/>
          <w:szCs w:val="28"/>
        </w:rPr>
        <w:t>后，面对的是更加开放的国际化市场要求，如何让投资者关系管理工作与时俱进，积极主动与国际接轨也是我们这两年正在积极探索的。</w:t>
      </w:r>
      <w:r>
        <w:rPr>
          <w:rFonts w:hint="eastAsia" w:ascii="Times New Roman" w:hAnsi="Times New Roman" w:eastAsia="楷体" w:cs="Times New Roman"/>
          <w:sz w:val="28"/>
          <w:szCs w:val="28"/>
        </w:rPr>
        <w:t>随着中国资本市场的逐步对外开放，越来越多的投资机构在衡量上市公司质量时，在考量传统财务指标的同时，也在逐步增加非财务指标的权重，将环境绩效、社会绩效和公司治理摆在了更重要的位置，积极履行社会责任的上市公司得到了更多投资者的支持。</w:t>
      </w:r>
    </w:p>
    <w:p>
      <w:pPr>
        <w:spacing w:after="156" w:afterLines="50" w:line="560" w:lineRule="exact"/>
        <w:ind w:firstLine="560" w:firstLineChars="200"/>
        <w:rPr>
          <w:rFonts w:ascii="Times New Roman" w:hAnsi="Times New Roman" w:eastAsia="楷体" w:cs="Times New Roman"/>
          <w:sz w:val="28"/>
          <w:szCs w:val="28"/>
        </w:rPr>
      </w:pPr>
      <w:r>
        <w:rPr>
          <w:rFonts w:hint="eastAsia" w:ascii="Times New Roman" w:hAnsi="Times New Roman" w:eastAsia="楷体" w:cs="Times New Roman"/>
          <w:sz w:val="28"/>
          <w:szCs w:val="28"/>
        </w:rPr>
        <w:t>“基业长青，建筑永恒”是金融街秉承的绿色产品理念。我们按照可持续发展管理体系，全面梳理项目全生命周期的绿色节能规划，执行全盘实现绿色建筑标准的可持续发展理念，落实从项目设计、施工采购、项目交付和物业管理的“四环保”的节能要求。</w:t>
      </w:r>
    </w:p>
    <w:p>
      <w:pPr>
        <w:spacing w:after="156" w:afterLines="50" w:line="560" w:lineRule="exact"/>
        <w:ind w:firstLine="560" w:firstLineChars="200"/>
        <w:rPr>
          <w:rFonts w:ascii="Times New Roman" w:hAnsi="Times New Roman" w:eastAsia="楷体" w:cs="Times New Roman"/>
          <w:sz w:val="28"/>
          <w:szCs w:val="28"/>
        </w:rPr>
      </w:pPr>
      <w:r>
        <w:rPr>
          <w:rFonts w:hint="eastAsia" w:ascii="Times New Roman" w:hAnsi="Times New Roman" w:eastAsia="楷体" w:cs="Times New Roman"/>
          <w:sz w:val="28"/>
          <w:szCs w:val="28"/>
        </w:rPr>
        <w:t>在践行社会责任方面，金融街用实际行动诠释“担当”。2020年年初以来，新冠肺炎疫情的蔓延。在这场刻不容缓、没有硝烟的疫情防控阻击战中，金融街人迎难而上，责任不缺席。在客户支持方面，对受疫情影响的中小微客户，我们采取缓交、减免租金等形式与客户同舟共济、共克时艰；在社区防护方面，金融街人义不容辞，近四百人次志愿者和社区工作者一起构筑了抗击疫情群防群治的严密防线。</w:t>
      </w:r>
    </w:p>
    <w:p>
      <w:pPr>
        <w:spacing w:after="156" w:afterLines="50" w:line="560" w:lineRule="exact"/>
        <w:ind w:firstLine="560" w:firstLineChars="200"/>
        <w:rPr>
          <w:rFonts w:ascii="Times New Roman" w:hAnsi="Times New Roman" w:eastAsia="楷体" w:cs="Times New Roman"/>
          <w:sz w:val="28"/>
          <w:szCs w:val="28"/>
        </w:rPr>
      </w:pPr>
      <w:r>
        <w:rPr>
          <w:rFonts w:hint="eastAsia" w:ascii="Times New Roman" w:hAnsi="Times New Roman" w:eastAsia="楷体" w:cs="Times New Roman"/>
          <w:sz w:val="28"/>
          <w:szCs w:val="28"/>
        </w:rPr>
        <w:t>在员工关爱方面，公司一直将人力资源作为公司最重要、最宝贵的资源。通过加强梯队建设、深化机制改革、关心员工利益、丰富员工生活，构建和谐企业，2019年公司员工满意度达到87%，连续多年高于房地产行业平均水平和最佳雇主满意度水平。2018年，公司更是作为中国房地产企业第1名、中国企业第11名，进入《福布斯》发布全球最佳雇主榜单。</w:t>
      </w:r>
    </w:p>
    <w:p>
      <w:pPr>
        <w:spacing w:after="156" w:afterLines="50" w:line="560" w:lineRule="exact"/>
        <w:ind w:firstLine="560" w:firstLineChars="200"/>
        <w:rPr>
          <w:rFonts w:ascii="Times New Roman" w:hAnsi="Times New Roman" w:eastAsia="楷体" w:cs="Times New Roman"/>
          <w:sz w:val="28"/>
          <w:szCs w:val="28"/>
        </w:rPr>
      </w:pPr>
      <w:r>
        <w:rPr>
          <w:rFonts w:hint="eastAsia" w:ascii="Times New Roman" w:hAnsi="Times New Roman" w:eastAsia="楷体" w:cs="Times New Roman"/>
          <w:sz w:val="28"/>
          <w:szCs w:val="28"/>
        </w:rPr>
        <w:t>金融街以</w:t>
      </w:r>
      <w:r>
        <w:rPr>
          <w:rFonts w:ascii="Times New Roman" w:hAnsi="Times New Roman" w:eastAsia="楷体" w:cs="Times New Roman"/>
          <w:sz w:val="28"/>
          <w:szCs w:val="28"/>
        </w:rPr>
        <w:t>依法依规做好信息披露</w:t>
      </w:r>
      <w:r>
        <w:rPr>
          <w:rFonts w:hint="eastAsia" w:ascii="Times New Roman" w:hAnsi="Times New Roman" w:eastAsia="楷体" w:cs="Times New Roman"/>
          <w:sz w:val="28"/>
          <w:szCs w:val="28"/>
        </w:rPr>
        <w:t>为抓手</w:t>
      </w:r>
      <w:r>
        <w:rPr>
          <w:rFonts w:ascii="Times New Roman" w:hAnsi="Times New Roman" w:eastAsia="楷体" w:cs="Times New Roman"/>
          <w:sz w:val="28"/>
          <w:szCs w:val="28"/>
        </w:rPr>
        <w:t>，</w:t>
      </w:r>
      <w:r>
        <w:rPr>
          <w:rFonts w:hint="eastAsia" w:ascii="Times New Roman" w:hAnsi="Times New Roman" w:eastAsia="楷体" w:cs="Times New Roman"/>
          <w:sz w:val="28"/>
          <w:szCs w:val="28"/>
        </w:rPr>
        <w:t>坚守合规治理、诚实守信的底线。</w:t>
      </w:r>
      <w:r>
        <w:rPr>
          <w:rFonts w:ascii="Times New Roman" w:hAnsi="Times New Roman" w:eastAsia="楷体" w:cs="Times New Roman"/>
          <w:sz w:val="28"/>
          <w:szCs w:val="28"/>
        </w:rPr>
        <w:t>保障投资者知情权，这</w:t>
      </w:r>
      <w:r>
        <w:rPr>
          <w:rFonts w:hint="eastAsia" w:ascii="Times New Roman" w:hAnsi="Times New Roman" w:eastAsia="楷体" w:cs="Times New Roman"/>
          <w:sz w:val="28"/>
          <w:szCs w:val="28"/>
        </w:rPr>
        <w:t>既是</w:t>
      </w:r>
      <w:r>
        <w:rPr>
          <w:rFonts w:ascii="Times New Roman" w:hAnsi="Times New Roman" w:eastAsia="楷体" w:cs="Times New Roman"/>
          <w:sz w:val="28"/>
          <w:szCs w:val="28"/>
        </w:rPr>
        <w:t>新证券法再一次强调的内容，也是我们金融街一贯坚持的原则。因为我们深知只有时刻想投资者所想，我们才能带领团队不断提高信息披露的质量和有效性</w:t>
      </w:r>
      <w:r>
        <w:rPr>
          <w:rFonts w:hint="eastAsia" w:ascii="Times New Roman" w:hAnsi="Times New Roman" w:eastAsia="楷体" w:cs="Times New Roman"/>
          <w:sz w:val="28"/>
          <w:szCs w:val="28"/>
        </w:rPr>
        <w:t>，最终守护的，是投资者的知情权，是投资者对上市公司的信任。</w:t>
      </w:r>
      <w:r>
        <w:rPr>
          <w:rFonts w:ascii="Times New Roman" w:hAnsi="Times New Roman" w:eastAsia="楷体" w:cs="Times New Roman"/>
          <w:sz w:val="28"/>
          <w:szCs w:val="28"/>
        </w:rPr>
        <w:t>金融街连续十年被深圳证券交易所评定为信息披露优秀公司，这是</w:t>
      </w:r>
      <w:r>
        <w:rPr>
          <w:rFonts w:hint="eastAsia" w:ascii="Times New Roman" w:hAnsi="Times New Roman" w:eastAsia="楷体" w:cs="Times New Roman"/>
          <w:sz w:val="28"/>
          <w:szCs w:val="28"/>
        </w:rPr>
        <w:t>对</w:t>
      </w:r>
      <w:r>
        <w:rPr>
          <w:rFonts w:ascii="Times New Roman" w:hAnsi="Times New Roman" w:eastAsia="楷体" w:cs="Times New Roman"/>
          <w:sz w:val="28"/>
          <w:szCs w:val="28"/>
        </w:rPr>
        <w:t>我们</w:t>
      </w:r>
      <w:r>
        <w:rPr>
          <w:rFonts w:hint="eastAsia" w:ascii="Times New Roman" w:hAnsi="Times New Roman" w:eastAsia="楷体" w:cs="Times New Roman"/>
          <w:sz w:val="28"/>
          <w:szCs w:val="28"/>
        </w:rPr>
        <w:t>完善的公司治理体系最好褒奖。</w:t>
      </w:r>
    </w:p>
    <w:p>
      <w:pPr>
        <w:spacing w:after="156" w:afterLines="50" w:line="560" w:lineRule="exact"/>
        <w:ind w:firstLine="560" w:firstLineChars="200"/>
        <w:rPr>
          <w:rFonts w:ascii="Times New Roman" w:hAnsi="Times New Roman" w:eastAsia="楷体" w:cs="Times New Roman"/>
          <w:sz w:val="28"/>
          <w:szCs w:val="28"/>
        </w:rPr>
      </w:pPr>
      <w:r>
        <w:rPr>
          <w:rFonts w:ascii="Times New Roman" w:hAnsi="Times New Roman" w:eastAsia="楷体" w:cs="Times New Roman"/>
          <w:sz w:val="28"/>
          <w:szCs w:val="28"/>
        </w:rPr>
        <w:t>总之，</w:t>
      </w:r>
      <w:r>
        <w:rPr>
          <w:rFonts w:hint="eastAsia" w:ascii="Times New Roman" w:hAnsi="Times New Roman" w:eastAsia="楷体" w:cs="Times New Roman"/>
          <w:sz w:val="28"/>
          <w:szCs w:val="28"/>
        </w:rPr>
        <w:t>金融街会</w:t>
      </w:r>
      <w:r>
        <w:rPr>
          <w:rFonts w:ascii="Times New Roman" w:hAnsi="Times New Roman" w:eastAsia="楷体" w:cs="Times New Roman"/>
          <w:sz w:val="28"/>
          <w:szCs w:val="28"/>
        </w:rPr>
        <w:t>在今后新证券法的进一步贯彻落实过程中，对投资者关系管理工作不断革故鼎新，切实做好投资者权益保障工作，持续完善和</w:t>
      </w:r>
      <w:r>
        <w:rPr>
          <w:rFonts w:hint="eastAsia" w:ascii="Times New Roman" w:hAnsi="Times New Roman" w:eastAsia="楷体" w:cs="Times New Roman"/>
          <w:sz w:val="28"/>
          <w:szCs w:val="28"/>
        </w:rPr>
        <w:t>优化</w:t>
      </w:r>
      <w:r>
        <w:rPr>
          <w:rFonts w:ascii="Times New Roman" w:hAnsi="Times New Roman" w:eastAsia="楷体" w:cs="Times New Roman"/>
          <w:sz w:val="28"/>
          <w:szCs w:val="28"/>
        </w:rPr>
        <w:t>公司法人治理结构</w:t>
      </w:r>
      <w:r>
        <w:rPr>
          <w:rFonts w:hint="eastAsia" w:ascii="Times New Roman" w:hAnsi="Times New Roman" w:eastAsia="楷体" w:cs="Times New Roman"/>
          <w:sz w:val="28"/>
          <w:szCs w:val="28"/>
        </w:rPr>
        <w:t>的同时</w:t>
      </w:r>
      <w:r>
        <w:rPr>
          <w:rFonts w:ascii="Times New Roman" w:hAnsi="Times New Roman" w:eastAsia="楷体" w:cs="Times New Roman"/>
          <w:sz w:val="28"/>
          <w:szCs w:val="28"/>
        </w:rPr>
        <w:t>，</w:t>
      </w:r>
      <w:r>
        <w:rPr>
          <w:rFonts w:hint="eastAsia" w:ascii="Times New Roman" w:hAnsi="Times New Roman" w:eastAsia="楷体" w:cs="Times New Roman"/>
          <w:sz w:val="28"/>
          <w:szCs w:val="28"/>
        </w:rPr>
        <w:t>不忘践行社会责任，</w:t>
      </w:r>
      <w:r>
        <w:rPr>
          <w:rFonts w:ascii="Times New Roman" w:hAnsi="Times New Roman" w:eastAsia="楷体" w:cs="Times New Roman"/>
          <w:sz w:val="28"/>
          <w:szCs w:val="28"/>
        </w:rPr>
        <w:t>开创公司高质量发展新局面。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AB3"/>
    <w:rsid w:val="00022076"/>
    <w:rsid w:val="00045741"/>
    <w:rsid w:val="000707AE"/>
    <w:rsid w:val="000779D9"/>
    <w:rsid w:val="000928E5"/>
    <w:rsid w:val="000E5B2D"/>
    <w:rsid w:val="00115489"/>
    <w:rsid w:val="00190722"/>
    <w:rsid w:val="00240E8C"/>
    <w:rsid w:val="00274885"/>
    <w:rsid w:val="0027617B"/>
    <w:rsid w:val="002A01B3"/>
    <w:rsid w:val="002E5365"/>
    <w:rsid w:val="003206EF"/>
    <w:rsid w:val="00340C48"/>
    <w:rsid w:val="003514C8"/>
    <w:rsid w:val="00356C1C"/>
    <w:rsid w:val="003651CE"/>
    <w:rsid w:val="003E2EC3"/>
    <w:rsid w:val="004148F8"/>
    <w:rsid w:val="00480606"/>
    <w:rsid w:val="00484E6D"/>
    <w:rsid w:val="004A1DE2"/>
    <w:rsid w:val="004B2D27"/>
    <w:rsid w:val="004E4226"/>
    <w:rsid w:val="004F2818"/>
    <w:rsid w:val="00506854"/>
    <w:rsid w:val="00632092"/>
    <w:rsid w:val="00663F86"/>
    <w:rsid w:val="006729CD"/>
    <w:rsid w:val="006B1B0C"/>
    <w:rsid w:val="006B5746"/>
    <w:rsid w:val="00724C28"/>
    <w:rsid w:val="00756D02"/>
    <w:rsid w:val="007834A7"/>
    <w:rsid w:val="00791CBA"/>
    <w:rsid w:val="007D5574"/>
    <w:rsid w:val="007D5F2D"/>
    <w:rsid w:val="00812B85"/>
    <w:rsid w:val="008C6F98"/>
    <w:rsid w:val="008E1BB4"/>
    <w:rsid w:val="00922590"/>
    <w:rsid w:val="009B6AB3"/>
    <w:rsid w:val="009D20B6"/>
    <w:rsid w:val="009E2990"/>
    <w:rsid w:val="00A167FD"/>
    <w:rsid w:val="00A6511B"/>
    <w:rsid w:val="00AA257F"/>
    <w:rsid w:val="00AD79BD"/>
    <w:rsid w:val="00AE393D"/>
    <w:rsid w:val="00AF62DC"/>
    <w:rsid w:val="00B2793C"/>
    <w:rsid w:val="00B32EB3"/>
    <w:rsid w:val="00B54702"/>
    <w:rsid w:val="00BA5397"/>
    <w:rsid w:val="00BC27AF"/>
    <w:rsid w:val="00CA342E"/>
    <w:rsid w:val="00CC1F19"/>
    <w:rsid w:val="00E1106D"/>
    <w:rsid w:val="00ED6465"/>
    <w:rsid w:val="00F17F46"/>
    <w:rsid w:val="00F71AD0"/>
    <w:rsid w:val="00F74961"/>
    <w:rsid w:val="00F765C1"/>
    <w:rsid w:val="00F85058"/>
    <w:rsid w:val="00F97058"/>
    <w:rsid w:val="00FF5CFC"/>
    <w:rsid w:val="4CA42B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5">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7"/>
    <w:semiHidden/>
    <w:unhideWhenUsed/>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字符"/>
    <w:basedOn w:val="5"/>
    <w:link w:val="2"/>
    <w:semiHidden/>
    <w:uiPriority w:val="99"/>
    <w:rPr>
      <w:rFonts w:ascii="Calibri" w:hAnsi="Calibri" w:eastAsia="宋体" w:cs="宋体"/>
      <w:sz w:val="18"/>
      <w:szCs w:val="18"/>
    </w:rPr>
  </w:style>
  <w:style w:type="character" w:customStyle="1" w:styleId="8">
    <w:name w:val="页眉 字符"/>
    <w:basedOn w:val="5"/>
    <w:link w:val="4"/>
    <w:uiPriority w:val="99"/>
    <w:rPr>
      <w:rFonts w:ascii="Calibri" w:hAnsi="Calibri" w:eastAsia="宋体" w:cs="宋体"/>
      <w:sz w:val="18"/>
      <w:szCs w:val="18"/>
    </w:rPr>
  </w:style>
  <w:style w:type="character" w:customStyle="1" w:styleId="9">
    <w:name w:val="页脚 字符"/>
    <w:basedOn w:val="5"/>
    <w:link w:val="3"/>
    <w:uiPriority w:val="99"/>
    <w:rPr>
      <w:rFonts w:ascii="Calibri" w:hAnsi="Calibri" w:eastAsia="宋体" w:cs="宋体"/>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CC86F74-0A90-4B6F-8E7C-1B31A9C7CE6A}">
  <ds:schemaRefs/>
</ds:datastoreItem>
</file>

<file path=docProps/app.xml><?xml version="1.0" encoding="utf-8"?>
<Properties xmlns="http://schemas.openxmlformats.org/officeDocument/2006/extended-properties" xmlns:vt="http://schemas.openxmlformats.org/officeDocument/2006/docPropsVTypes">
  <Template>Normal</Template>
  <Pages>3</Pages>
  <Words>216</Words>
  <Characters>1236</Characters>
  <Lines>10</Lines>
  <Paragraphs>2</Paragraphs>
  <TotalTime>1</TotalTime>
  <ScaleCrop>false</ScaleCrop>
  <LinksUpToDate>false</LinksUpToDate>
  <CharactersWithSpaces>1450</CharactersWithSpaces>
  <Application>WPS Office_10.8.2.7090_F1E327BC-269C-435d-A152-05C5408002CA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2020-04-16T10:53:00Z</dcterms:created>
  <dc:creator>69493</dc:creator>
  <cp:lastModifiedBy>csrc</cp:lastModifiedBy>
  <cp:lastPrinted>2020-05-12T05:34:00Z</cp:lastPrinted>
  <dcterms:modified xsi:type="dcterms:W3CDTF">2020-05-21T01:04:58Z</dcterms:modified>
  <dc:title>“诚实守信 做受尊敬的上市公司”投资者保护专项行动系列宣传文章</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2052-10.8.2.7090</vt:lpwstr>
  </property>
</Properties>
</file>